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ayout w:type="fixed"/>
        <w:tblLook w:val="0000" w:firstRow="0" w:lastRow="0" w:firstColumn="0" w:lastColumn="0" w:noHBand="0" w:noVBand="0"/>
      </w:tblPr>
      <w:tblGrid>
        <w:gridCol w:w="5988"/>
        <w:gridCol w:w="3334"/>
      </w:tblGrid>
      <w:tr w:rsidR="00241A24" w:rsidRPr="00500D45">
        <w:trPr>
          <w:trHeight w:val="1531"/>
        </w:trPr>
        <w:tc>
          <w:tcPr>
            <w:tcW w:w="5988" w:type="dxa"/>
          </w:tcPr>
          <w:p w:rsidR="00241A24" w:rsidRPr="00500D45" w:rsidRDefault="00500D45" w:rsidP="00EB64BC">
            <w:pPr>
              <w:spacing w:before="20" w:line="240" w:lineRule="auto"/>
              <w:jc w:val="left"/>
              <w:rPr>
                <w:sz w:val="28"/>
                <w:szCs w:val="28"/>
              </w:rPr>
            </w:pPr>
            <w:r w:rsidRPr="00500D45">
              <w:rPr>
                <w:noProof/>
                <w:sz w:val="28"/>
                <w:szCs w:val="28"/>
                <w:lang w:val="en-US" w:eastAsia="en-US"/>
              </w:rPr>
              <w:drawing>
                <wp:anchor distT="0" distB="0" distL="114300" distR="114300" simplePos="0" relativeHeight="251659264" behindDoc="0" locked="0" layoutInCell="1" allowOverlap="1" wp14:anchorId="2950514E" wp14:editId="094BD829">
                  <wp:simplePos x="0" y="0"/>
                  <wp:positionH relativeFrom="column">
                    <wp:posOffset>0</wp:posOffset>
                  </wp:positionH>
                  <wp:positionV relativeFrom="paragraph">
                    <wp:posOffset>0</wp:posOffset>
                  </wp:positionV>
                  <wp:extent cx="903600" cy="903600"/>
                  <wp:effectExtent l="0" t="0" r="0" b="0"/>
                  <wp:wrapNone/>
                  <wp:docPr id="14" name="Picture 14" descr="HL_Mono_200dpi_28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_Mono_200dpi_28m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3600" cy="903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334" w:type="dxa"/>
            <w:vAlign w:val="bottom"/>
          </w:tcPr>
          <w:p w:rsidR="00241A24" w:rsidRPr="00500D45" w:rsidRDefault="006C2D5A">
            <w:pPr>
              <w:jc w:val="left"/>
              <w:rPr>
                <w:b/>
                <w:smallCaps/>
                <w:sz w:val="28"/>
                <w:szCs w:val="28"/>
              </w:rPr>
            </w:pPr>
            <w:r w:rsidRPr="00500D45">
              <w:rPr>
                <w:b/>
                <w:smallCaps/>
                <w:sz w:val="28"/>
                <w:szCs w:val="28"/>
              </w:rPr>
              <w:t>Mémorandum</w:t>
            </w:r>
          </w:p>
          <w:p w:rsidR="00241A24" w:rsidRPr="00500D45" w:rsidRDefault="00241A24">
            <w:pPr>
              <w:pStyle w:val="Address"/>
              <w:tabs>
                <w:tab w:val="right" w:pos="2835"/>
              </w:tabs>
              <w:jc w:val="left"/>
            </w:pPr>
          </w:p>
        </w:tc>
      </w:tr>
    </w:tbl>
    <w:p w:rsidR="00241A24" w:rsidRPr="00500D45" w:rsidRDefault="00241A24">
      <w:pPr>
        <w:jc w:val="left"/>
      </w:pPr>
    </w:p>
    <w:p w:rsidR="00241A24" w:rsidRPr="00500D45" w:rsidRDefault="00241A24">
      <w:pPr>
        <w:jc w:val="left"/>
      </w:pPr>
    </w:p>
    <w:tbl>
      <w:tblPr>
        <w:tblW w:w="9284" w:type="dxa"/>
        <w:tblLayout w:type="fixed"/>
        <w:tblLook w:val="0000" w:firstRow="0" w:lastRow="0" w:firstColumn="0" w:lastColumn="0" w:noHBand="0" w:noVBand="0"/>
      </w:tblPr>
      <w:tblGrid>
        <w:gridCol w:w="1202"/>
        <w:gridCol w:w="3341"/>
        <w:gridCol w:w="1463"/>
        <w:gridCol w:w="3278"/>
      </w:tblGrid>
      <w:tr w:rsidR="00701AD6" w:rsidRPr="00500D45" w:rsidTr="00500D45">
        <w:tc>
          <w:tcPr>
            <w:tcW w:w="1202" w:type="dxa"/>
          </w:tcPr>
          <w:p w:rsidR="00701AD6" w:rsidRPr="00500D45" w:rsidRDefault="00500D45" w:rsidP="009D3AE2">
            <w:pPr>
              <w:jc w:val="left"/>
              <w:rPr>
                <w:b/>
                <w:smallCaps/>
              </w:rPr>
            </w:pPr>
            <w:r w:rsidRPr="00500D45">
              <w:rPr>
                <w:b/>
                <w:smallCaps/>
              </w:rPr>
              <w:t>Pour</w:t>
            </w:r>
          </w:p>
        </w:tc>
        <w:sdt>
          <w:sdtPr>
            <w:alias w:val="Name of recipient"/>
            <w:tag w:val="RecipientName"/>
            <w:id w:val="-1075518697"/>
            <w:placeholder>
              <w:docPart w:val="B1D4CD2784134FAB9AB86CDB545C5A7E"/>
            </w:placeholder>
            <w:text/>
          </w:sdtPr>
          <w:sdtEndPr/>
          <w:sdtContent>
            <w:tc>
              <w:tcPr>
                <w:tcW w:w="3341" w:type="dxa"/>
              </w:tcPr>
              <w:p w:rsidR="00701AD6" w:rsidRPr="00500D45" w:rsidRDefault="00500D45" w:rsidP="008510DD">
                <w:pPr>
                  <w:jc w:val="left"/>
                </w:pPr>
                <w:r>
                  <w:t>Paris Partners</w:t>
                </w:r>
              </w:p>
            </w:tc>
          </w:sdtContent>
        </w:sdt>
        <w:tc>
          <w:tcPr>
            <w:tcW w:w="1463" w:type="dxa"/>
          </w:tcPr>
          <w:p w:rsidR="00701AD6" w:rsidRPr="00500D45" w:rsidRDefault="00500D45" w:rsidP="009D3AE2">
            <w:pPr>
              <w:jc w:val="left"/>
              <w:rPr>
                <w:b/>
                <w:smallCaps/>
              </w:rPr>
            </w:pPr>
            <w:r w:rsidRPr="00500D45">
              <w:rPr>
                <w:b/>
                <w:smallCaps/>
              </w:rPr>
              <w:t>Adresse</w:t>
            </w:r>
          </w:p>
        </w:tc>
        <w:tc>
          <w:tcPr>
            <w:tcW w:w="3278" w:type="dxa"/>
          </w:tcPr>
          <w:p w:rsidR="00701AD6" w:rsidRPr="00500D45" w:rsidRDefault="00500D45" w:rsidP="009D3AE2">
            <w:pPr>
              <w:jc w:val="left"/>
            </w:pPr>
            <w:r>
              <w:t>Paris</w:t>
            </w:r>
            <w:r w:rsidR="0021777F">
              <w:t xml:space="preserve"> </w:t>
            </w:r>
          </w:p>
        </w:tc>
      </w:tr>
      <w:tr w:rsidR="00701AD6" w:rsidRPr="00500D45" w:rsidTr="00500D45">
        <w:tc>
          <w:tcPr>
            <w:tcW w:w="1202" w:type="dxa"/>
          </w:tcPr>
          <w:p w:rsidR="00701AD6" w:rsidRPr="00500D45" w:rsidRDefault="00701AD6" w:rsidP="009D3AE2">
            <w:pPr>
              <w:jc w:val="left"/>
            </w:pPr>
          </w:p>
        </w:tc>
        <w:tc>
          <w:tcPr>
            <w:tcW w:w="3341" w:type="dxa"/>
          </w:tcPr>
          <w:p w:rsidR="00701AD6" w:rsidRPr="00500D45" w:rsidRDefault="00701AD6" w:rsidP="009D3AE2">
            <w:pPr>
              <w:jc w:val="left"/>
            </w:pPr>
          </w:p>
        </w:tc>
        <w:tc>
          <w:tcPr>
            <w:tcW w:w="1463" w:type="dxa"/>
          </w:tcPr>
          <w:p w:rsidR="00701AD6" w:rsidRPr="00500D45" w:rsidRDefault="00701AD6" w:rsidP="009D3AE2">
            <w:pPr>
              <w:jc w:val="left"/>
              <w:rPr>
                <w:rStyle w:val="Heading1Text"/>
              </w:rPr>
            </w:pPr>
          </w:p>
        </w:tc>
        <w:tc>
          <w:tcPr>
            <w:tcW w:w="3278" w:type="dxa"/>
          </w:tcPr>
          <w:p w:rsidR="00701AD6" w:rsidRPr="00500D45" w:rsidRDefault="00701AD6" w:rsidP="009D3AE2">
            <w:pPr>
              <w:jc w:val="left"/>
            </w:pPr>
          </w:p>
        </w:tc>
      </w:tr>
      <w:tr w:rsidR="00701AD6" w:rsidRPr="00500D45" w:rsidTr="00500D45">
        <w:tc>
          <w:tcPr>
            <w:tcW w:w="1202" w:type="dxa"/>
          </w:tcPr>
          <w:p w:rsidR="00701AD6" w:rsidRPr="00500D45" w:rsidRDefault="00500D45" w:rsidP="009D3AE2">
            <w:pPr>
              <w:jc w:val="left"/>
              <w:rPr>
                <w:b/>
                <w:smallCaps/>
              </w:rPr>
            </w:pPr>
            <w:r w:rsidRPr="00500D45">
              <w:rPr>
                <w:b/>
                <w:smallCaps/>
              </w:rPr>
              <w:t>Date</w:t>
            </w:r>
          </w:p>
        </w:tc>
        <w:sdt>
          <w:sdtPr>
            <w:alias w:val="Document Date"/>
            <w:tag w:val="Date"/>
            <w:id w:val="-923878771"/>
            <w:placeholder>
              <w:docPart w:val="58838664471346F7923AD9BFE1292E33"/>
            </w:placeholder>
            <w:text/>
          </w:sdtPr>
          <w:sdtEndPr/>
          <w:sdtContent>
            <w:tc>
              <w:tcPr>
                <w:tcW w:w="3341" w:type="dxa"/>
              </w:tcPr>
              <w:p w:rsidR="00701AD6" w:rsidRPr="00500D45" w:rsidRDefault="00500D45" w:rsidP="00AA0273">
                <w:pPr>
                  <w:jc w:val="left"/>
                </w:pPr>
                <w:r>
                  <w:t>Le 17 mars 2020</w:t>
                </w:r>
              </w:p>
            </w:tc>
          </w:sdtContent>
        </w:sdt>
        <w:tc>
          <w:tcPr>
            <w:tcW w:w="1463" w:type="dxa"/>
          </w:tcPr>
          <w:p w:rsidR="00701AD6" w:rsidRPr="00500D45" w:rsidRDefault="00701AD6" w:rsidP="009D3AE2">
            <w:pPr>
              <w:jc w:val="left"/>
            </w:pPr>
          </w:p>
        </w:tc>
        <w:tc>
          <w:tcPr>
            <w:tcW w:w="3278" w:type="dxa"/>
          </w:tcPr>
          <w:p w:rsidR="00701AD6" w:rsidRPr="00500D45" w:rsidRDefault="00701AD6" w:rsidP="009D3AE2">
            <w:pPr>
              <w:jc w:val="left"/>
            </w:pPr>
          </w:p>
        </w:tc>
      </w:tr>
      <w:tr w:rsidR="00701AD6" w:rsidRPr="00500D45" w:rsidTr="00500D45">
        <w:tc>
          <w:tcPr>
            <w:tcW w:w="1202" w:type="dxa"/>
            <w:tcBorders>
              <w:bottom w:val="nil"/>
            </w:tcBorders>
          </w:tcPr>
          <w:p w:rsidR="00701AD6" w:rsidRPr="00500D45" w:rsidRDefault="00701AD6" w:rsidP="009D3AE2">
            <w:pPr>
              <w:jc w:val="left"/>
            </w:pPr>
          </w:p>
        </w:tc>
        <w:tc>
          <w:tcPr>
            <w:tcW w:w="3341" w:type="dxa"/>
            <w:tcBorders>
              <w:bottom w:val="nil"/>
            </w:tcBorders>
          </w:tcPr>
          <w:p w:rsidR="00701AD6" w:rsidRPr="00500D45" w:rsidRDefault="00701AD6" w:rsidP="009D3AE2">
            <w:pPr>
              <w:jc w:val="left"/>
            </w:pPr>
          </w:p>
        </w:tc>
        <w:tc>
          <w:tcPr>
            <w:tcW w:w="1463" w:type="dxa"/>
            <w:tcBorders>
              <w:bottom w:val="nil"/>
            </w:tcBorders>
          </w:tcPr>
          <w:p w:rsidR="00701AD6" w:rsidRPr="00500D45" w:rsidRDefault="00701AD6" w:rsidP="009D3AE2">
            <w:pPr>
              <w:jc w:val="left"/>
            </w:pPr>
          </w:p>
        </w:tc>
        <w:tc>
          <w:tcPr>
            <w:tcW w:w="3278" w:type="dxa"/>
            <w:tcBorders>
              <w:bottom w:val="nil"/>
            </w:tcBorders>
          </w:tcPr>
          <w:p w:rsidR="00701AD6" w:rsidRPr="00500D45" w:rsidRDefault="00701AD6" w:rsidP="009D3AE2">
            <w:pPr>
              <w:jc w:val="left"/>
            </w:pPr>
          </w:p>
        </w:tc>
      </w:tr>
      <w:tr w:rsidR="00701AD6" w:rsidRPr="00500D45" w:rsidTr="00500D45">
        <w:tc>
          <w:tcPr>
            <w:tcW w:w="1202" w:type="dxa"/>
          </w:tcPr>
          <w:p w:rsidR="00701AD6" w:rsidRPr="00500D45" w:rsidRDefault="00500D45" w:rsidP="009D3AE2">
            <w:pPr>
              <w:rPr>
                <w:rStyle w:val="Heading1Text"/>
              </w:rPr>
            </w:pPr>
            <w:r w:rsidRPr="00500D45">
              <w:rPr>
                <w:rStyle w:val="Heading1Text"/>
              </w:rPr>
              <w:t>Sujet</w:t>
            </w:r>
          </w:p>
        </w:tc>
        <w:tc>
          <w:tcPr>
            <w:tcW w:w="8082" w:type="dxa"/>
            <w:gridSpan w:val="3"/>
          </w:tcPr>
          <w:p w:rsidR="00701AD6" w:rsidRPr="00500D45" w:rsidRDefault="006C2D5A" w:rsidP="009D3AE2">
            <w:r>
              <w:t>Présentation des m</w:t>
            </w:r>
            <w:r w:rsidR="00500D45">
              <w:t>esures financières de soutien aux entreprises face à la crise du Covid-19</w:t>
            </w:r>
          </w:p>
        </w:tc>
      </w:tr>
      <w:tr w:rsidR="00701AD6" w:rsidRPr="00500D45" w:rsidTr="00500D45">
        <w:trPr>
          <w:trHeight w:hRule="exact" w:val="340"/>
        </w:trPr>
        <w:tc>
          <w:tcPr>
            <w:tcW w:w="1202" w:type="dxa"/>
            <w:tcBorders>
              <w:bottom w:val="single" w:sz="4" w:space="0" w:color="auto"/>
            </w:tcBorders>
          </w:tcPr>
          <w:p w:rsidR="00701AD6" w:rsidRPr="00500D45" w:rsidRDefault="00701AD6" w:rsidP="009D3AE2">
            <w:pPr>
              <w:jc w:val="left"/>
              <w:rPr>
                <w:smallCaps/>
              </w:rPr>
            </w:pPr>
          </w:p>
        </w:tc>
        <w:tc>
          <w:tcPr>
            <w:tcW w:w="8082" w:type="dxa"/>
            <w:gridSpan w:val="3"/>
            <w:tcBorders>
              <w:bottom w:val="single" w:sz="4" w:space="0" w:color="auto"/>
            </w:tcBorders>
          </w:tcPr>
          <w:p w:rsidR="00701AD6" w:rsidRPr="00500D45" w:rsidRDefault="00701AD6" w:rsidP="009D3AE2"/>
        </w:tc>
      </w:tr>
    </w:tbl>
    <w:p w:rsidR="00DF73AE" w:rsidRDefault="00DF73AE" w:rsidP="00DF73AE"/>
    <w:p w:rsidR="00DF73AE" w:rsidRPr="00DF73AE" w:rsidRDefault="00DF73AE" w:rsidP="00DF73AE">
      <w:pPr>
        <w:spacing w:after="210"/>
      </w:pPr>
      <w:r w:rsidRPr="00DF73AE">
        <w:t xml:space="preserve">Face à l'impact de la crise sanitaire du Covid-19 sur l'économie nationale et européenne, le Président de la République et le gouvernement ont annoncé plusieurs mesures d'urgence destinées à soutenir les entreprises en difficulté. </w:t>
      </w:r>
    </w:p>
    <w:p w:rsidR="00701AD6" w:rsidRDefault="0010253D" w:rsidP="00DF73AE">
      <w:pPr>
        <w:pStyle w:val="Body1"/>
        <w:rPr>
          <w:bCs/>
        </w:rPr>
      </w:pPr>
      <w:r>
        <w:t>Le coût global de ces mesures s'élève, selon le gouvernement, à 45 milliards d'euros</w:t>
      </w:r>
      <w:r w:rsidR="00DF73AE" w:rsidRPr="00DF73AE">
        <w:t xml:space="preserve">. A titre de comparaison, ce coût représenterait </w:t>
      </w:r>
      <w:r>
        <w:t>plus</w:t>
      </w:r>
      <w:r w:rsidR="00DF73AE" w:rsidRPr="00DF73AE">
        <w:t xml:space="preserve"> de deux fois le montant dépensé par l'Etat pour soutenir les entreprises lors de la crise des </w:t>
      </w:r>
      <w:r w:rsidR="00DF73AE" w:rsidRPr="00DF73AE">
        <w:rPr>
          <w:b/>
          <w:bCs/>
        </w:rPr>
        <w:t>« </w:t>
      </w:r>
      <w:r w:rsidR="00DF73AE" w:rsidRPr="00DF73AE">
        <w:rPr>
          <w:bCs/>
        </w:rPr>
        <w:t>gilets jaunes</w:t>
      </w:r>
      <w:r w:rsidR="00DF73AE" w:rsidRPr="00DF73AE">
        <w:rPr>
          <w:b/>
          <w:bCs/>
        </w:rPr>
        <w:t xml:space="preserve"> », </w:t>
      </w:r>
      <w:r w:rsidR="00DF73AE" w:rsidRPr="00DF73AE">
        <w:rPr>
          <w:bCs/>
        </w:rPr>
        <w:t xml:space="preserve">et serait </w:t>
      </w:r>
      <w:r>
        <w:rPr>
          <w:bCs/>
        </w:rPr>
        <w:t>supérieur</w:t>
      </w:r>
      <w:r w:rsidR="00DF73AE" w:rsidRPr="00DF73AE">
        <w:rPr>
          <w:bCs/>
        </w:rPr>
        <w:t xml:space="preserve"> à celui du plan de relance mis en œuvre par le gouvernement français après la crise financière de 2008.</w:t>
      </w:r>
      <w:r>
        <w:rPr>
          <w:bCs/>
        </w:rPr>
        <w:t xml:space="preserve"> </w:t>
      </w:r>
    </w:p>
    <w:p w:rsidR="0010253D" w:rsidRDefault="0010253D" w:rsidP="00DF73AE">
      <w:pPr>
        <w:pStyle w:val="Body1"/>
        <w:rPr>
          <w:bCs/>
        </w:rPr>
      </w:pPr>
      <w:r>
        <w:rPr>
          <w:bCs/>
        </w:rPr>
        <w:t xml:space="preserve">Par ailleurs, le gouvernement a annoncé que les garanties accordées par l'Etat pour les prêts </w:t>
      </w:r>
      <w:bookmarkStart w:id="0" w:name="_GoBack"/>
      <w:bookmarkEnd w:id="0"/>
      <w:r>
        <w:rPr>
          <w:bCs/>
        </w:rPr>
        <w:t xml:space="preserve">bancaires des entreprises s'élèveraient à 300 milliards d'euros. </w:t>
      </w:r>
    </w:p>
    <w:p w:rsidR="00DF73AE" w:rsidRDefault="00DF73AE" w:rsidP="00DF73AE">
      <w:pPr>
        <w:pStyle w:val="Body1"/>
        <w:rPr>
          <w:bCs/>
        </w:rPr>
      </w:pPr>
      <w:r>
        <w:rPr>
          <w:bCs/>
        </w:rPr>
        <w:t>La présente note a pour objet de présenter les mesures financières d'urgences mises en œuvre par le gouvernement français pour soutenir les entreprises dans le cadre de la crise du Covid-19.</w:t>
      </w:r>
    </w:p>
    <w:p w:rsidR="00DF73AE" w:rsidRPr="00DF73AE" w:rsidRDefault="00DF73AE" w:rsidP="00DF73AE">
      <w:pPr>
        <w:pStyle w:val="Heading1"/>
      </w:pPr>
      <w:r w:rsidRPr="00DF73AE">
        <w:rPr>
          <w:u w:val="single"/>
        </w:rPr>
        <w:t>Délais de paiement et remises de cotisations sociales et d'impôts directs</w:t>
      </w:r>
    </w:p>
    <w:p w:rsidR="00DF73AE" w:rsidRPr="00DF73AE" w:rsidRDefault="00BA293D" w:rsidP="00BA293D">
      <w:pPr>
        <w:pStyle w:val="Heading2"/>
      </w:pPr>
      <w:r w:rsidRPr="00DF73AE">
        <w:rPr>
          <w:u w:val="single"/>
        </w:rPr>
        <w:t>Quels impôts et cotisations sociales sont concernés ?</w:t>
      </w:r>
    </w:p>
    <w:p w:rsidR="00DF73AE" w:rsidRPr="00DF73AE" w:rsidRDefault="00DF73AE" w:rsidP="00DF73AE">
      <w:pPr>
        <w:spacing w:after="210"/>
        <w:ind w:left="709"/>
      </w:pPr>
      <w:r w:rsidRPr="00DF73AE">
        <w:t xml:space="preserve">Le ministère de l'Economie et des Finances a annoncé que les entreprises dont l'activité est impactée par la crise sanitaire du Covid-19 pourront demander à reporter le paiement des cotisations sociales et des impôts directs dus au titre du mois de mars 2020. </w:t>
      </w:r>
    </w:p>
    <w:p w:rsidR="00DF73AE" w:rsidRPr="00DF73AE" w:rsidRDefault="00DF73AE" w:rsidP="00DF73AE">
      <w:pPr>
        <w:spacing w:after="210"/>
        <w:ind w:left="709"/>
      </w:pPr>
      <w:r w:rsidRPr="00DF73AE">
        <w:t xml:space="preserve">S'agissant des reports d'échéances fiscales, seuls les impôts directs sont concernés par cette mesure (acomptes d'impôt sur les sociétés, taxe sur les salaires, taxe foncière, acomptes de prélèvement à la source, etc.). La TVA et les autres impôts indirects ne pourront faire l'objet d'aucun report. </w:t>
      </w:r>
    </w:p>
    <w:p w:rsidR="00DF73AE" w:rsidRPr="00DF73AE" w:rsidRDefault="00DF73AE" w:rsidP="00DF73AE">
      <w:pPr>
        <w:spacing w:after="210"/>
        <w:ind w:left="709"/>
      </w:pPr>
      <w:r w:rsidRPr="00DF73AE">
        <w:t xml:space="preserve">S'agissant des reports d'échéances sociales, ils peuvent porter sur les cotisations sociales salariales et patronales, la contribution sociale généralisée (CSG), la contribution pour le remboursement de la dette sociale (CRDS) et la contribution à la formation professionnelle (CFP). </w:t>
      </w:r>
    </w:p>
    <w:p w:rsidR="00DF73AE" w:rsidRPr="00DF73AE" w:rsidRDefault="00BA293D" w:rsidP="00BA293D">
      <w:pPr>
        <w:pStyle w:val="Heading2"/>
      </w:pPr>
      <w:r w:rsidRPr="00DF73AE">
        <w:rPr>
          <w:u w:val="single"/>
        </w:rPr>
        <w:t xml:space="preserve">Quelles sont les formalités à accomplir pour bénéficier de ces mesures ? </w:t>
      </w:r>
    </w:p>
    <w:p w:rsidR="00DF73AE" w:rsidRPr="00DF73AE" w:rsidRDefault="00DF73AE" w:rsidP="00DF73AE">
      <w:pPr>
        <w:spacing w:after="210"/>
        <w:ind w:left="709"/>
      </w:pPr>
      <w:r w:rsidRPr="00DF73AE">
        <w:t xml:space="preserve">Ces reports seront accordés de façon automatique, sans aucune condition, sans aucune formalité et sans aucune pénalité. Ils concernent le paiement des impôts et cotisations sociales dues au titre du mois de mars 2020 : </w:t>
      </w:r>
    </w:p>
    <w:p w:rsidR="0010253D" w:rsidRDefault="00DF73AE" w:rsidP="00DF73AE">
      <w:pPr>
        <w:numPr>
          <w:ilvl w:val="0"/>
          <w:numId w:val="18"/>
        </w:numPr>
        <w:spacing w:after="210"/>
        <w:ind w:hanging="578"/>
      </w:pPr>
      <w:r w:rsidRPr="00DF73AE">
        <w:rPr>
          <w:u w:val="single"/>
        </w:rPr>
        <w:t>S'agissant des reports d'échéances fiscales</w:t>
      </w:r>
      <w:r w:rsidRPr="00DF73AE">
        <w:t xml:space="preserve"> : les entreprises en difficulté peuvent en bénéficier sur simple envoi d'un formulaire par mail au Service des Impôts des Entreprises (SIE). </w:t>
      </w:r>
    </w:p>
    <w:p w:rsidR="00DF73AE" w:rsidRPr="00DF73AE" w:rsidRDefault="00DF73AE" w:rsidP="0010253D">
      <w:pPr>
        <w:spacing w:after="210"/>
        <w:ind w:left="1429"/>
      </w:pPr>
      <w:r w:rsidRPr="00DF73AE">
        <w:lastRenderedPageBreak/>
        <w:t xml:space="preserve">Les coordonnées des SIE ont été communiquées par la DGFIP. Le formulaire devra préciser les impôts sur lesquels porte la demande et indiquer la baisse de chiffre d'affaires qui la justifie. </w:t>
      </w:r>
    </w:p>
    <w:p w:rsidR="00DF73AE" w:rsidRPr="00DF73AE" w:rsidRDefault="00DF73AE" w:rsidP="00DF73AE">
      <w:pPr>
        <w:spacing w:after="210"/>
        <w:ind w:left="1429"/>
      </w:pPr>
      <w:r w:rsidRPr="00DF73AE">
        <w:t xml:space="preserve">Si les entreprises ont déjà réglé leurs échéances au titre du mois de mars 2020, elles ont encore la possibilité de s'opposer au prélèvement SEPA auprès de leur banque. A défaut, si le prélèvement est déjà effectif, elles ont également la possibilité d'en demander le remboursement auprès du SIE. </w:t>
      </w:r>
    </w:p>
    <w:p w:rsidR="00DF73AE" w:rsidRPr="00DF73AE" w:rsidRDefault="00DF73AE" w:rsidP="00DF73AE">
      <w:pPr>
        <w:numPr>
          <w:ilvl w:val="0"/>
          <w:numId w:val="18"/>
        </w:numPr>
        <w:spacing w:after="210"/>
        <w:ind w:hanging="578"/>
      </w:pPr>
      <w:r w:rsidRPr="00DF73AE">
        <w:rPr>
          <w:u w:val="single"/>
        </w:rPr>
        <w:t>S'agissant des reports de paiement de cotisations sociales</w:t>
      </w:r>
      <w:r w:rsidRPr="00DF73AE">
        <w:t xml:space="preserve"> : l'échéance du 15 mars pourra être reportée. Cette mesure pourra, si besoin, être réitérée pour l'échéance du 15 avril. </w:t>
      </w:r>
    </w:p>
    <w:p w:rsidR="00DF73AE" w:rsidRPr="00DF73AE" w:rsidRDefault="00DF73AE" w:rsidP="00DF73AE">
      <w:pPr>
        <w:spacing w:after="210"/>
        <w:ind w:left="1429"/>
      </w:pPr>
      <w:r w:rsidRPr="00DF73AE">
        <w:t xml:space="preserve">Les employeurs pouvaient envoyer leur déclaration sociale nominative (DSN) jusqu'au 16 mars inclus, en modulant son paiement en considération des reports d'échéances sollicités. Si cette DSN a déjà être transmise par l'employeur, elle peut être modifiée jusqu'au 19 mars, avec modification du paiement fait à l'URSSAF. Si l'employeur règle ses cotisations hors DSN, il peut adapter le montant de son virement bancaire ou ne pas effectuer de virement du tout. </w:t>
      </w:r>
    </w:p>
    <w:p w:rsidR="00DF73AE" w:rsidRPr="00DF73AE" w:rsidRDefault="00DF73AE" w:rsidP="00DF73AE">
      <w:pPr>
        <w:spacing w:after="210"/>
        <w:ind w:left="1429"/>
      </w:pPr>
      <w:r w:rsidRPr="00DF73AE">
        <w:t xml:space="preserve">Pour les travailleurs indépendants, l'échéance du 20 mars ne sera pas prélevée. Le montant de cette échéance sera lissé sur les échéances ultérieures (avril à décembre). En plus de cette mesure, les travailleurs indépendants pourront solliciter l'intervention de l'action sociale, pour la prise en charge partielle ou totale de leurs cotisations ou pour l'attribution d'une aide financière exceptionnelle. </w:t>
      </w:r>
    </w:p>
    <w:p w:rsidR="00DF73AE" w:rsidRPr="00DF73AE" w:rsidRDefault="00DF73AE" w:rsidP="00DF73AE">
      <w:pPr>
        <w:spacing w:after="210"/>
        <w:ind w:left="1429"/>
      </w:pPr>
      <w:r w:rsidRPr="00DF73AE">
        <w:t xml:space="preserve">L'ensemble des démarches est dématérialisée et peut être réalisée sur le site internet de l'URSSAF, par mail ou, pour les indépendants, sur le site secu-independants.fr. </w:t>
      </w:r>
    </w:p>
    <w:p w:rsidR="00DF73AE" w:rsidRPr="00DF73AE" w:rsidRDefault="00BA293D" w:rsidP="00BA293D">
      <w:pPr>
        <w:pStyle w:val="Heading2"/>
      </w:pPr>
      <w:r w:rsidRPr="00DF73AE">
        <w:rPr>
          <w:u w:val="single"/>
        </w:rPr>
        <w:t xml:space="preserve">Quelle est la durée des délais de paiement ? </w:t>
      </w:r>
    </w:p>
    <w:p w:rsidR="00DF73AE" w:rsidRPr="00DF73AE" w:rsidRDefault="00DF73AE" w:rsidP="00DF73AE">
      <w:pPr>
        <w:spacing w:after="210"/>
        <w:ind w:left="709"/>
      </w:pPr>
      <w:r w:rsidRPr="00DF73AE">
        <w:t>Les paiements pourront être reportés jusqu'à 3 mois, sans aucune pénalité. Toutefois, le ministre de l'Economie et des Finances a indiqué que « </w:t>
      </w:r>
      <w:r w:rsidRPr="00DF73AE">
        <w:rPr>
          <w:bCs/>
          <w:i/>
          <w:iCs/>
        </w:rPr>
        <w:t>tant que la crise durera, il y aura report</w:t>
      </w:r>
      <w:r w:rsidRPr="00DF73AE">
        <w:t xml:space="preserve"> ». Il n'est donc pas exclu que les paiements d'impôts directs et de cotisations sociales puisse être reportés à plus longue échéance. </w:t>
      </w:r>
    </w:p>
    <w:p w:rsidR="00DF73AE" w:rsidRPr="00DF73AE" w:rsidRDefault="00DF73AE" w:rsidP="00DF73AE">
      <w:pPr>
        <w:spacing w:after="210"/>
        <w:ind w:left="709"/>
      </w:pPr>
      <w:r w:rsidRPr="00DF73AE">
        <w:t>Les cotisations sociales et impôts faisant l'objet de ces reports d'échéance seront payés ultérieurement, selon des « </w:t>
      </w:r>
      <w:r w:rsidRPr="00DF73AE">
        <w:rPr>
          <w:i/>
          <w:iCs/>
        </w:rPr>
        <w:t>mesures de rééchelonnement</w:t>
      </w:r>
      <w:r w:rsidRPr="00DF73AE">
        <w:t xml:space="preserve"> » qui restent à déterminer. </w:t>
      </w:r>
    </w:p>
    <w:p w:rsidR="00DF73AE" w:rsidRPr="00DF73AE" w:rsidRDefault="00BA293D" w:rsidP="00BA293D">
      <w:pPr>
        <w:pStyle w:val="Heading2"/>
      </w:pPr>
      <w:r w:rsidRPr="00DF73AE">
        <w:rPr>
          <w:u w:val="single"/>
        </w:rPr>
        <w:t xml:space="preserve">Des remises d'impôts ou de cotisations sont-elles envisagées ? </w:t>
      </w:r>
    </w:p>
    <w:p w:rsidR="00DF73AE" w:rsidRPr="00DF73AE" w:rsidRDefault="00DF73AE" w:rsidP="00DF73AE">
      <w:pPr>
        <w:keepLines/>
        <w:spacing w:after="210"/>
        <w:ind w:left="709"/>
      </w:pPr>
      <w:r w:rsidRPr="00DF73AE">
        <w:t>Les entreprises « </w:t>
      </w:r>
      <w:r w:rsidRPr="00DF73AE">
        <w:rPr>
          <w:i/>
          <w:iCs/>
        </w:rPr>
        <w:t>menacées de disparition</w:t>
      </w:r>
      <w:r w:rsidRPr="00DF73AE">
        <w:t xml:space="preserve"> » pourront solliciter des remises portant sur les impôts directs dont elles sont redevables. A l'inverse des délais de paiement visés ci-avant, qui sont accordés automatiquement, les remises d'impôts directs ne seront pas accordées de façon automatique par l'administration fiscale compétente, mais uniquement à la suite d'un examen individualisé de la situation des entreprises demandeuses.  </w:t>
      </w:r>
    </w:p>
    <w:p w:rsidR="00DF73AE" w:rsidRPr="00DF73AE" w:rsidRDefault="00DF73AE" w:rsidP="00DF73AE">
      <w:pPr>
        <w:pStyle w:val="Heading1"/>
      </w:pPr>
      <w:r w:rsidRPr="00DF73AE">
        <w:rPr>
          <w:u w:val="single"/>
        </w:rPr>
        <w:t>Mesures prises par BPI afin de soutenir la trésorerie des entreprises</w:t>
      </w:r>
    </w:p>
    <w:p w:rsidR="00DF73AE" w:rsidRPr="00DF73AE" w:rsidRDefault="00BA293D" w:rsidP="00BA293D">
      <w:pPr>
        <w:pStyle w:val="Heading2"/>
      </w:pPr>
      <w:r w:rsidRPr="00DF73AE">
        <w:rPr>
          <w:u w:val="single"/>
        </w:rPr>
        <w:t>Observations liminaires</w:t>
      </w:r>
    </w:p>
    <w:p w:rsidR="00DF73AE" w:rsidRPr="00DF73AE" w:rsidRDefault="00DF73AE" w:rsidP="00DF73AE">
      <w:pPr>
        <w:keepLines/>
        <w:spacing w:after="210"/>
        <w:ind w:left="709"/>
      </w:pPr>
      <w:r w:rsidRPr="00DF73AE">
        <w:t xml:space="preserve">Les mesures prévues par BPI sont destinées à traiter les difficultés conjoncturelles directement liées aux conséquences de la crise sanitaire du Covid-19. Elles ne sont donc pas automatiques, en particulier pour les entreprises dont les résultats ont été déficitaires sur le ou les derniers exercices. </w:t>
      </w:r>
    </w:p>
    <w:p w:rsidR="00DF73AE" w:rsidRPr="00DF73AE" w:rsidRDefault="00DF73AE" w:rsidP="00DF73AE">
      <w:pPr>
        <w:keepNext/>
        <w:spacing w:after="210"/>
        <w:ind w:left="709"/>
      </w:pPr>
      <w:r w:rsidRPr="00DF73AE">
        <w:lastRenderedPageBreak/>
        <w:t>Préalablement à la demande, les entreprises sont invitées à :</w:t>
      </w:r>
    </w:p>
    <w:p w:rsidR="00DF73AE" w:rsidRPr="00DF73AE" w:rsidRDefault="00DF73AE" w:rsidP="000365EB">
      <w:pPr>
        <w:keepNext/>
        <w:numPr>
          <w:ilvl w:val="0"/>
          <w:numId w:val="19"/>
        </w:numPr>
        <w:spacing w:after="210"/>
        <w:ind w:left="1134" w:hanging="425"/>
      </w:pPr>
      <w:r w:rsidRPr="00DF73AE">
        <w:t>rechercher le ou les partenaires bancaires qui accepteront de les accompagner ; et</w:t>
      </w:r>
    </w:p>
    <w:p w:rsidR="00DF73AE" w:rsidRPr="00DF73AE" w:rsidRDefault="00DF73AE" w:rsidP="00DF73AE">
      <w:pPr>
        <w:numPr>
          <w:ilvl w:val="0"/>
          <w:numId w:val="19"/>
        </w:numPr>
        <w:spacing w:after="210"/>
        <w:ind w:left="1134" w:hanging="425"/>
      </w:pPr>
      <w:r w:rsidRPr="00DF73AE">
        <w:t xml:space="preserve">vérifier l'éligibilité de leur dossier au regard des conditions posées par BPI, notamment en veillant à présenter l'origine conjoncturelle des difficultés rencontrées. </w:t>
      </w:r>
    </w:p>
    <w:p w:rsidR="00DF73AE" w:rsidRPr="00DF73AE" w:rsidRDefault="00BA293D" w:rsidP="00BA293D">
      <w:pPr>
        <w:pStyle w:val="Heading2"/>
      </w:pPr>
      <w:r w:rsidRPr="00DF73AE">
        <w:rPr>
          <w:u w:val="single"/>
        </w:rPr>
        <w:t xml:space="preserve">Quelles sont les modalités de la garantie BPI sur les emprunts bancaires ? </w:t>
      </w:r>
    </w:p>
    <w:p w:rsidR="00DF73AE" w:rsidRPr="00DF73AE" w:rsidRDefault="00DF73AE" w:rsidP="00DF73AE">
      <w:pPr>
        <w:spacing w:after="210"/>
        <w:ind w:left="709"/>
      </w:pPr>
      <w:r w:rsidRPr="00DF73AE">
        <w:t xml:space="preserve">La Banque Publique d'Investissement (BPI) a annoncé qu'elle s'engageait à garantir jusqu'à 90% du montant des emprunts contractés par les entreprises auprès de leur établissement de crédit. Le plafond de la garantie de BPI avait déjà été relevé (de 40% à 70% du montant des emprunts), au cours de la semaine du 9 mars.   De plus, cette garantie est désormais accessible, non seulement aux TPE et aux PME, mais également aux entreprises de taille intermédiaire (ETI). </w:t>
      </w:r>
    </w:p>
    <w:p w:rsidR="00DF73AE" w:rsidRPr="00DF73AE" w:rsidRDefault="00DF73AE" w:rsidP="00DF73AE">
      <w:pPr>
        <w:keepLines/>
        <w:spacing w:after="210"/>
        <w:ind w:left="709"/>
      </w:pPr>
      <w:r w:rsidRPr="00DF73AE">
        <w:t xml:space="preserve">Le rehaussement du plafond de cette garantie a pour objectif de rassurer les établissements de crédits prêteurs et de les inciter à soutenir la trésorerie des entreprises, notamment en leur accordant les crédits à court-terme indispensables au financement de leur besoin en fonds de roulement. </w:t>
      </w:r>
    </w:p>
    <w:p w:rsidR="00DF73AE" w:rsidRPr="00DF73AE" w:rsidRDefault="00DF73AE" w:rsidP="00DF73AE">
      <w:pPr>
        <w:keepNext/>
        <w:keepLines/>
        <w:spacing w:after="210"/>
        <w:ind w:left="709"/>
      </w:pPr>
      <w:r w:rsidRPr="00DF73AE">
        <w:t xml:space="preserve">La garantie accordée par la BPI à hauteur de 90% du montant des encours concerne : </w:t>
      </w:r>
    </w:p>
    <w:p w:rsidR="00DF73AE" w:rsidRPr="00DF73AE" w:rsidRDefault="00DF73AE" w:rsidP="00DF73AE">
      <w:pPr>
        <w:numPr>
          <w:ilvl w:val="0"/>
          <w:numId w:val="18"/>
        </w:numPr>
        <w:spacing w:after="210"/>
        <w:ind w:hanging="578"/>
      </w:pPr>
      <w:r w:rsidRPr="00DF73AE">
        <w:t>les prêts de 3 à 7 ans ; et</w:t>
      </w:r>
    </w:p>
    <w:p w:rsidR="00DF73AE" w:rsidRPr="00DF73AE" w:rsidRDefault="00DF73AE" w:rsidP="00DF73AE">
      <w:pPr>
        <w:numPr>
          <w:ilvl w:val="0"/>
          <w:numId w:val="18"/>
        </w:numPr>
        <w:spacing w:after="210"/>
        <w:ind w:hanging="578"/>
      </w:pPr>
      <w:r w:rsidRPr="00DF73AE">
        <w:t xml:space="preserve">les autorisations de découvert confirmées sur 12 à 18 mois. </w:t>
      </w:r>
    </w:p>
    <w:p w:rsidR="00DF73AE" w:rsidRPr="00DF73AE" w:rsidRDefault="00DF73AE" w:rsidP="00DF73AE">
      <w:pPr>
        <w:keepLines/>
        <w:spacing w:after="210"/>
        <w:ind w:left="709"/>
      </w:pPr>
      <w:r w:rsidRPr="00DF73AE">
        <w:t xml:space="preserve">La BPI a également indiqué qu'elle allait prolonger les garanties classiques des crédits d'investissement, pour accompagner les réaménagements opérés par les banques, sans aucun frais de gestion. </w:t>
      </w:r>
    </w:p>
    <w:p w:rsidR="00DF73AE" w:rsidRPr="00DF73AE" w:rsidRDefault="00DF73AE" w:rsidP="00DF73AE">
      <w:pPr>
        <w:keepLines/>
        <w:spacing w:after="210"/>
        <w:ind w:left="709"/>
      </w:pPr>
      <w:r w:rsidRPr="00DF73AE">
        <w:t xml:space="preserve">Les demandes doivent être transmises sur le site extranet.bpifrance.fr/partenaire ou par mail. </w:t>
      </w:r>
    </w:p>
    <w:p w:rsidR="00DF73AE" w:rsidRPr="00DF73AE" w:rsidRDefault="00BA293D" w:rsidP="00BA293D">
      <w:pPr>
        <w:pStyle w:val="Heading2"/>
      </w:pPr>
      <w:r w:rsidRPr="00DF73AE">
        <w:rPr>
          <w:u w:val="single"/>
        </w:rPr>
        <w:t xml:space="preserve">La BPI accorde-t-elle des apports directs de liquidités nouvelles au profit des entreprises ? </w:t>
      </w:r>
    </w:p>
    <w:p w:rsidR="00DF73AE" w:rsidRPr="00DF73AE" w:rsidRDefault="00DF73AE" w:rsidP="00DF73AE">
      <w:pPr>
        <w:keepNext/>
        <w:spacing w:after="210"/>
        <w:ind w:left="709"/>
      </w:pPr>
      <w:r w:rsidRPr="00DF73AE">
        <w:t xml:space="preserve">La BPI a indiqué qu'elle soutiendrait la trésorerie des entreprises par un apport direct de nouvelles liquidités, à travers : </w:t>
      </w:r>
    </w:p>
    <w:p w:rsidR="00DF73AE" w:rsidRPr="00DF73AE" w:rsidRDefault="00DF73AE" w:rsidP="00DF73AE">
      <w:pPr>
        <w:numPr>
          <w:ilvl w:val="0"/>
          <w:numId w:val="18"/>
        </w:numPr>
        <w:spacing w:after="210"/>
        <w:ind w:hanging="578"/>
      </w:pPr>
      <w:r w:rsidRPr="00DF73AE">
        <w:t xml:space="preserve">l'octroi de prêts à moyen-terme sans sûretés réelles (Prêt Atout), sur 3 à 5 ans, à hauteur de (i) 5 millions d'euros pour les PME et (ii) 30 millions d'euros pour les entreprises de taille intermédiaire, accompagnés de différés de remboursement en capital de 6 à 12 mois ; </w:t>
      </w:r>
    </w:p>
    <w:p w:rsidR="00DF73AE" w:rsidRPr="00DF73AE" w:rsidRDefault="00DF73AE" w:rsidP="00DF73AE">
      <w:pPr>
        <w:numPr>
          <w:ilvl w:val="0"/>
          <w:numId w:val="18"/>
        </w:numPr>
        <w:spacing w:after="210"/>
        <w:ind w:hanging="578"/>
      </w:pPr>
      <w:r w:rsidRPr="00DF73AE">
        <w:t xml:space="preserve">la mobilisation des factures, accompagnée de crédits de trésorerie représentant 30% des montants mobilisés ; </w:t>
      </w:r>
    </w:p>
    <w:p w:rsidR="00DF73AE" w:rsidRPr="00DF73AE" w:rsidRDefault="00DF73AE" w:rsidP="00DF73AE">
      <w:pPr>
        <w:numPr>
          <w:ilvl w:val="0"/>
          <w:numId w:val="18"/>
        </w:numPr>
        <w:spacing w:after="210"/>
        <w:ind w:hanging="578"/>
      </w:pPr>
      <w:r w:rsidRPr="00DF73AE">
        <w:t xml:space="preserve">l'octroi de prêts à destination des TPE et PME (Prêt de Rebond), cofinancés par les Régions, d'une durée de 7 ans, dont 2 ans de différé d'amortissement en capital, et plafonnés à 300.000 euros. </w:t>
      </w:r>
    </w:p>
    <w:p w:rsidR="00DF73AE" w:rsidRPr="00DF73AE" w:rsidRDefault="00BA293D" w:rsidP="00BA293D">
      <w:pPr>
        <w:pStyle w:val="Heading2"/>
      </w:pPr>
      <w:r w:rsidRPr="00DF73AE">
        <w:rPr>
          <w:u w:val="single"/>
        </w:rPr>
        <w:t xml:space="preserve">Est-il possible de réaménager les emprunts souscrits auprès de BPI ? </w:t>
      </w:r>
    </w:p>
    <w:p w:rsidR="00DF73AE" w:rsidRPr="00DF73AE" w:rsidRDefault="00DF73AE" w:rsidP="00DF73AE">
      <w:pPr>
        <w:spacing w:after="210"/>
        <w:ind w:left="709"/>
      </w:pPr>
      <w:r w:rsidRPr="00DF73AE">
        <w:t>La BPI a annoncé qu'elle réaménagerait les crédits à moyen et long terme qu'elle a accordés aux entreprises, « </w:t>
      </w:r>
      <w:r w:rsidRPr="00DF73AE">
        <w:rPr>
          <w:i/>
          <w:iCs/>
        </w:rPr>
        <w:t>sur demande motivée par le contexte</w:t>
      </w:r>
      <w:r w:rsidRPr="00DF73AE">
        <w:t> », notamment à travers des franchises de remboursement et/ou des rééchelonnements de dette.  </w:t>
      </w:r>
    </w:p>
    <w:p w:rsidR="00DF73AE" w:rsidRPr="00DF73AE" w:rsidRDefault="00DF73AE" w:rsidP="00DF73AE">
      <w:pPr>
        <w:pStyle w:val="Heading1"/>
      </w:pPr>
      <w:r w:rsidRPr="00DF73AE">
        <w:rPr>
          <w:u w:val="single"/>
        </w:rPr>
        <w:lastRenderedPageBreak/>
        <w:t>Soutien des établissements de crédit privés aux entreprises en difficulté</w:t>
      </w:r>
    </w:p>
    <w:p w:rsidR="00DF73AE" w:rsidRPr="00DF73AE" w:rsidRDefault="00BA293D" w:rsidP="00BA293D">
      <w:pPr>
        <w:pStyle w:val="Heading2"/>
      </w:pPr>
      <w:r w:rsidRPr="00DF73AE">
        <w:rPr>
          <w:u w:val="single"/>
        </w:rPr>
        <w:t xml:space="preserve">Quelles mesures sont mises en œuvre par les établissements bancaires pour soutenir les entreprises en difficulté ? </w:t>
      </w:r>
    </w:p>
    <w:p w:rsidR="00DF73AE" w:rsidRPr="00DF73AE" w:rsidRDefault="00DF73AE" w:rsidP="00DF73AE">
      <w:pPr>
        <w:spacing w:after="210"/>
        <w:ind w:left="709"/>
      </w:pPr>
      <w:r w:rsidRPr="00DF73AE">
        <w:t>Le ministère de l'Economie et des Finance et le gouverneur de la Banque de France ont annoncé que l'Etat et la Banque de France (à travers l'administration de la médiation du crédit) allaient directement intervenir auprès des établissements de crédits privés.</w:t>
      </w:r>
    </w:p>
    <w:p w:rsidR="00DF73AE" w:rsidRPr="00DF73AE" w:rsidRDefault="00DF73AE" w:rsidP="00DF73AE">
      <w:pPr>
        <w:spacing w:after="210"/>
        <w:ind w:left="709"/>
      </w:pPr>
      <w:r w:rsidRPr="00DF73AE">
        <w:t xml:space="preserve">Les pouvoirs publics souhaitent, de cette manière, aider les entreprises connaissant des difficultés liées à la crise sanitaire à obtenir le réaménagement des conditions de remboursement de leurs emprunts bancaires. </w:t>
      </w:r>
    </w:p>
    <w:p w:rsidR="00DF73AE" w:rsidRPr="00DF73AE" w:rsidRDefault="00DF73AE" w:rsidP="00DF73AE">
      <w:pPr>
        <w:spacing w:after="210"/>
        <w:ind w:left="709"/>
      </w:pPr>
      <w:r w:rsidRPr="00DF73AE">
        <w:t xml:space="preserve">Par ailleurs, la Fédération Bancaire Française a annoncé, lundi 16 mars 2020, que les banques françaises seraient totalement mobilisées afin d'accompagner les entreprises face aux difficultés économiques liées à la crise sanitaire. Les banques s'engagent ainsi à porter une attention particulière aux situations individuelles de leurs clients et à rechercher activement des solutions de financement court-terme adaptées à leurs difficultés de trésorerie. </w:t>
      </w:r>
    </w:p>
    <w:p w:rsidR="00DF73AE" w:rsidRPr="00DF73AE" w:rsidRDefault="00DF73AE" w:rsidP="00DF73AE">
      <w:pPr>
        <w:spacing w:after="210"/>
        <w:ind w:left="709"/>
      </w:pPr>
      <w:r w:rsidRPr="00DF73AE">
        <w:t xml:space="preserve">Les banques françaises ont ainsi annoncé la mise en œuvre des mesures suivantes : </w:t>
      </w:r>
    </w:p>
    <w:p w:rsidR="00DF73AE" w:rsidRPr="00DF73AE" w:rsidRDefault="00DF73AE" w:rsidP="00DF73AE">
      <w:pPr>
        <w:numPr>
          <w:ilvl w:val="0"/>
          <w:numId w:val="18"/>
        </w:numPr>
        <w:spacing w:after="210"/>
        <w:ind w:hanging="578"/>
      </w:pPr>
      <w:r w:rsidRPr="00DF73AE">
        <w:t xml:space="preserve">mise en place de procédures accélérées d'instruction de crédit pour les situations de trésorerie tendues, dans un délai de 5 jours, et attention particulière portée aux situations d'urgence ; </w:t>
      </w:r>
    </w:p>
    <w:p w:rsidR="00DF73AE" w:rsidRPr="00DF73AE" w:rsidRDefault="00DF73AE" w:rsidP="00DF73AE">
      <w:pPr>
        <w:numPr>
          <w:ilvl w:val="0"/>
          <w:numId w:val="18"/>
        </w:numPr>
        <w:spacing w:after="210"/>
        <w:ind w:hanging="578"/>
      </w:pPr>
      <w:r w:rsidRPr="00DF73AE">
        <w:t xml:space="preserve">report des remboursements de crédits pour les entreprises, pouvant aller jusqu'à six mois ; </w:t>
      </w:r>
    </w:p>
    <w:p w:rsidR="00DF73AE" w:rsidRPr="00DF73AE" w:rsidRDefault="00DF73AE" w:rsidP="00DF73AE">
      <w:pPr>
        <w:numPr>
          <w:ilvl w:val="0"/>
          <w:numId w:val="18"/>
        </w:numPr>
        <w:spacing w:after="210"/>
        <w:ind w:hanging="578"/>
      </w:pPr>
      <w:r w:rsidRPr="00DF73AE">
        <w:t xml:space="preserve">suppression des pénalités et des coûts additionnels liés aux reports d'échéances sollicités par les entreprises ; </w:t>
      </w:r>
    </w:p>
    <w:p w:rsidR="00DF73AE" w:rsidRPr="00DF73AE" w:rsidRDefault="00DF73AE" w:rsidP="00DF73AE">
      <w:pPr>
        <w:numPr>
          <w:ilvl w:val="0"/>
          <w:numId w:val="18"/>
        </w:numPr>
        <w:spacing w:after="210"/>
        <w:ind w:hanging="578"/>
      </w:pPr>
      <w:r w:rsidRPr="00DF73AE">
        <w:t xml:space="preserve">relai des mesures gouvernementales : dans le cadre des échanges avec les clients, communication et explication des mesures de soutien mises en place par l'Etat (reports d'échéances sociales et fiscales, garantie BPI, etc.). </w:t>
      </w:r>
    </w:p>
    <w:p w:rsidR="00DF73AE" w:rsidRPr="00DF73AE" w:rsidRDefault="00BA293D" w:rsidP="00BA293D">
      <w:pPr>
        <w:pStyle w:val="Heading2"/>
      </w:pPr>
      <w:r w:rsidRPr="00DF73AE">
        <w:rPr>
          <w:u w:val="single"/>
        </w:rPr>
        <w:t xml:space="preserve">Les banques continuent-elles à fonctionner normalement en dépit des mesures de restriction et de confinement édictées par le gouvernement ? </w:t>
      </w:r>
    </w:p>
    <w:p w:rsidR="00DF73AE" w:rsidRPr="00DF73AE" w:rsidRDefault="00DF73AE" w:rsidP="00DF73AE">
      <w:pPr>
        <w:spacing w:after="210"/>
        <w:ind w:left="709"/>
      </w:pPr>
      <w:r w:rsidRPr="00DF73AE">
        <w:t xml:space="preserve">La Fédération Bancaire Française indique, dans un communiqué, que les banques françaises continueront à fonctionner en dépit des contraintes opérationnelles résultant des mesures restrictives édictées par le gouvernement : </w:t>
      </w:r>
    </w:p>
    <w:p w:rsidR="00DF73AE" w:rsidRPr="00DF73AE" w:rsidRDefault="00DF73AE" w:rsidP="00DF73AE">
      <w:pPr>
        <w:numPr>
          <w:ilvl w:val="0"/>
          <w:numId w:val="18"/>
        </w:numPr>
        <w:spacing w:after="210"/>
        <w:ind w:hanging="578"/>
      </w:pPr>
      <w:r w:rsidRPr="00DF73AE">
        <w:t xml:space="preserve">les réseaux bancaires restent ouverts et les agences sont préparées à assurer l'exécution des services bancaires essentiels ; </w:t>
      </w:r>
    </w:p>
    <w:p w:rsidR="00DF73AE" w:rsidRPr="00DF73AE" w:rsidRDefault="00DF73AE" w:rsidP="00DF73AE">
      <w:pPr>
        <w:numPr>
          <w:ilvl w:val="0"/>
          <w:numId w:val="18"/>
        </w:numPr>
        <w:spacing w:after="210"/>
        <w:ind w:hanging="578"/>
      </w:pPr>
      <w:r w:rsidRPr="00DF73AE">
        <w:t xml:space="preserve">l'alimentation des réseaux DAB est assurée et les infrastructures de moyens de paiement sont pleinement opérationnelles ; </w:t>
      </w:r>
    </w:p>
    <w:p w:rsidR="00DF73AE" w:rsidRPr="00DF73AE" w:rsidRDefault="00DF73AE" w:rsidP="00DF73AE">
      <w:pPr>
        <w:numPr>
          <w:ilvl w:val="0"/>
          <w:numId w:val="18"/>
        </w:numPr>
        <w:spacing w:after="210"/>
        <w:ind w:hanging="578"/>
      </w:pPr>
      <w:r w:rsidRPr="00DF73AE">
        <w:t xml:space="preserve">les entreprises sont toutefois invitées à privilégier les contacts par téléphone ou via des plateformes dédiées, conformément aux instructions du gouvernement ; </w:t>
      </w:r>
    </w:p>
    <w:p w:rsidR="00DF73AE" w:rsidRPr="00DF73AE" w:rsidRDefault="00DF73AE" w:rsidP="00DF73AE">
      <w:pPr>
        <w:numPr>
          <w:ilvl w:val="0"/>
          <w:numId w:val="18"/>
        </w:numPr>
        <w:spacing w:after="210"/>
        <w:ind w:hanging="578"/>
      </w:pPr>
      <w:r w:rsidRPr="00DF73AE">
        <w:t xml:space="preserve">au quotidien, la plupart des opérations bancaires sont automatisées et peuvent être accomplies à distance ou via des automates. </w:t>
      </w:r>
    </w:p>
    <w:p w:rsidR="00DF73AE" w:rsidRPr="00DF73AE" w:rsidRDefault="00DF73AE" w:rsidP="00DF73AE">
      <w:pPr>
        <w:pStyle w:val="Heading1"/>
      </w:pPr>
      <w:r w:rsidRPr="00DF73AE">
        <w:rPr>
          <w:u w:val="single"/>
        </w:rPr>
        <w:lastRenderedPageBreak/>
        <w:t>Absence de pénalités de retard pour les entreprises opérant au titre de marchés publics d'Etat</w:t>
      </w:r>
    </w:p>
    <w:p w:rsidR="00DF73AE" w:rsidRPr="00DF73AE" w:rsidRDefault="00DF73AE" w:rsidP="00DF73AE">
      <w:pPr>
        <w:spacing w:after="210"/>
        <w:ind w:left="709"/>
      </w:pPr>
      <w:r w:rsidRPr="00DF73AE">
        <w:t xml:space="preserve">L'Etat s'est engagé à reconnaitre la crise sanitaire liée au Covid-19 comme </w:t>
      </w:r>
      <w:r w:rsidRPr="00DF73AE">
        <w:rPr>
          <w:bCs/>
        </w:rPr>
        <w:t xml:space="preserve">« cas de force majeure ». Par conséquent, les entreprises exécutant des marchés publics d'Etat ne subiront pas l'application d'éventuelles pénalités de retard. </w:t>
      </w:r>
    </w:p>
    <w:p w:rsidR="00DF73AE" w:rsidRPr="00DF73AE" w:rsidRDefault="00DF73AE" w:rsidP="00DF73AE">
      <w:pPr>
        <w:pStyle w:val="Heading1"/>
      </w:pPr>
      <w:r w:rsidRPr="00DF73AE">
        <w:rPr>
          <w:u w:val="single"/>
        </w:rPr>
        <w:t xml:space="preserve">Création d'un </w:t>
      </w:r>
      <w:r w:rsidRPr="00DF73AE">
        <w:rPr>
          <w:bCs/>
          <w:u w:val="single"/>
        </w:rPr>
        <w:t>« fonds de solidarité »</w:t>
      </w:r>
    </w:p>
    <w:p w:rsidR="00DF73AE" w:rsidRPr="00DF73AE" w:rsidRDefault="00BA293D" w:rsidP="00BA293D">
      <w:pPr>
        <w:pStyle w:val="Heading2"/>
      </w:pPr>
      <w:r w:rsidRPr="00DF73AE">
        <w:rPr>
          <w:u w:val="single"/>
        </w:rPr>
        <w:t xml:space="preserve">Quelles entreprises pourront bénéficier du fonds de solidarité ? </w:t>
      </w:r>
    </w:p>
    <w:p w:rsidR="00DF73AE" w:rsidRPr="00DF73AE" w:rsidRDefault="00DF73AE" w:rsidP="00DF73AE">
      <w:pPr>
        <w:spacing w:after="210"/>
        <w:ind w:left="709"/>
      </w:pPr>
      <w:r w:rsidRPr="00DF73AE">
        <w:t xml:space="preserve">Le ministre de l'Economie et des Finances Bruno Le Maire a annoncé, le 13 mars 2020, la création d'un fonds de solidarité au bénéfice des entreprises « </w:t>
      </w:r>
      <w:r w:rsidRPr="00DF73AE">
        <w:rPr>
          <w:i/>
          <w:iCs/>
        </w:rPr>
        <w:t>les plus modestes, les plus petites, qui sont à court de trésorerie</w:t>
      </w:r>
      <w:r w:rsidRPr="00DF73AE">
        <w:t xml:space="preserve"> ». Il a également annoncé l'élaboration d'un plan d'urgence pour l'ensemble des commerçants et indépendants, qui subissent directement les mesures sanitaires restrictives édictées par le gouvernement (restaurateurs, hôtels, artisans). </w:t>
      </w:r>
    </w:p>
    <w:p w:rsidR="00DF73AE" w:rsidRPr="00DF73AE" w:rsidRDefault="00DF73AE" w:rsidP="00DF73AE">
      <w:pPr>
        <w:spacing w:after="210"/>
        <w:ind w:left="709"/>
      </w:pPr>
      <w:r w:rsidRPr="00DF73AE">
        <w:t xml:space="preserve">Les entreprises bénéficiaires de ce fonds de solidarité sont celles qui réalisent moins de 1 million d'euros de chiffre d'affaires annuel et qui justifient d'une perte de chiffre d'affaires d'au moins 70% en raison de la crise sanitaire du Covid-19.  </w:t>
      </w:r>
    </w:p>
    <w:p w:rsidR="00DF73AE" w:rsidRPr="00DF73AE" w:rsidRDefault="00BA293D" w:rsidP="00BA293D">
      <w:pPr>
        <w:pStyle w:val="Heading2"/>
      </w:pPr>
      <w:r w:rsidRPr="00DF73AE">
        <w:rPr>
          <w:u w:val="single"/>
        </w:rPr>
        <w:t xml:space="preserve">Quelles sont les modalités de financement et de fonctionnement du fonds de solidarité ? </w:t>
      </w:r>
    </w:p>
    <w:p w:rsidR="00DF73AE" w:rsidRPr="00DF73AE" w:rsidRDefault="00DF73AE" w:rsidP="00DF73AE">
      <w:pPr>
        <w:spacing w:after="210"/>
        <w:ind w:left="709"/>
      </w:pPr>
      <w:r w:rsidRPr="00DF73AE">
        <w:t xml:space="preserve">Le fonds de solidarité sera financé par l'Etat et les Régions. Par ailleurs, le ministère de l'Economie et des Finances a également appelé les grandes entreprises à y contribuer. La participation du secteur privé reste toutefois incertaine. </w:t>
      </w:r>
    </w:p>
    <w:p w:rsidR="00DF73AE" w:rsidRPr="00DF73AE" w:rsidRDefault="00DF73AE" w:rsidP="00DF73AE">
      <w:pPr>
        <w:spacing w:after="210"/>
        <w:ind w:left="709"/>
      </w:pPr>
      <w:r w:rsidRPr="00DF73AE">
        <w:t xml:space="preserve">Une aide forfaitaire de 1.500 euros sera accordée aux entreprises éligibles, sur simple déclaration. Le ministre de l'Economie et des Finances a également annoncé qu'il serait possible d'augmenter ce montant, au cas par cas. Bruno Le Maire devrait apporter des précisions sur les modalités de fonctionnement de ce fonds de solidarité dans les prochains jours. </w:t>
      </w:r>
    </w:p>
    <w:p w:rsidR="00DF73AE" w:rsidRPr="00DF73AE" w:rsidRDefault="00DF73AE" w:rsidP="00DF73AE">
      <w:pPr>
        <w:pStyle w:val="Heading1"/>
      </w:pPr>
      <w:r w:rsidRPr="00DF73AE">
        <w:rPr>
          <w:u w:val="single"/>
        </w:rPr>
        <w:t>Réaménagement du paiement des charges courantes des entreprises</w:t>
      </w:r>
    </w:p>
    <w:p w:rsidR="00DF73AE" w:rsidRPr="00DF73AE" w:rsidRDefault="00BA293D" w:rsidP="00BA293D">
      <w:pPr>
        <w:pStyle w:val="Heading2"/>
      </w:pPr>
      <w:r w:rsidRPr="00DF73AE">
        <w:rPr>
          <w:u w:val="single"/>
        </w:rPr>
        <w:t>Les entreprises bénéficient-elles d'un report du paiement de leurs loyers ?</w:t>
      </w:r>
    </w:p>
    <w:p w:rsidR="00DF73AE" w:rsidRPr="00DF73AE" w:rsidRDefault="00DF73AE" w:rsidP="00DF73AE">
      <w:pPr>
        <w:spacing w:after="210"/>
        <w:ind w:left="709"/>
      </w:pPr>
      <w:r w:rsidRPr="00DF73AE">
        <w:t>Dans un communiqué en date du 16 mars 2020, le Conseil National des Centres Commerciaux a recommandé à ses adhérents bailleurs d'appliquer les mesures suivantes :</w:t>
      </w:r>
    </w:p>
    <w:p w:rsidR="00DF73AE" w:rsidRPr="00DF73AE" w:rsidRDefault="00DF73AE" w:rsidP="00DF73AE">
      <w:pPr>
        <w:numPr>
          <w:ilvl w:val="0"/>
          <w:numId w:val="18"/>
        </w:numPr>
        <w:spacing w:after="210"/>
        <w:ind w:hanging="578"/>
      </w:pPr>
      <w:r w:rsidRPr="00DF73AE">
        <w:t xml:space="preserve">mensualisation des loyers et charges facturés au titre du deuxième trimestre 2020 ; </w:t>
      </w:r>
    </w:p>
    <w:p w:rsidR="00DF73AE" w:rsidRPr="00DF73AE" w:rsidRDefault="00DF73AE" w:rsidP="00DF73AE">
      <w:pPr>
        <w:numPr>
          <w:ilvl w:val="0"/>
          <w:numId w:val="18"/>
        </w:numPr>
        <w:spacing w:after="210"/>
        <w:ind w:hanging="578"/>
      </w:pPr>
      <w:r w:rsidRPr="00DF73AE">
        <w:t xml:space="preserve">suspension temporaire de la mise en recouvrement des loyers et charges du mois d'avril 2020, dans l'attente des décisions qui seront prises par le gouvernement d'ici au 15 avril 2020. </w:t>
      </w:r>
    </w:p>
    <w:p w:rsidR="00DF73AE" w:rsidRPr="00DF73AE" w:rsidRDefault="00DF73AE" w:rsidP="000365EB">
      <w:pPr>
        <w:spacing w:after="210"/>
        <w:ind w:left="709"/>
      </w:pPr>
      <w:r w:rsidRPr="00DF73AE">
        <w:t xml:space="preserve">La Compagnie de Phalsbourg a annoncé vouloir aller plus loin en « </w:t>
      </w:r>
      <w:r w:rsidRPr="00DF73AE">
        <w:rPr>
          <w:i/>
          <w:iCs/>
        </w:rPr>
        <w:t>annulant purement et simplement tous les loyers dus par les enseignes non alimentaires pendant les fermetures administratives, entre le 15 mars et le 15 avril 2020</w:t>
      </w:r>
      <w:r w:rsidRPr="00DF73AE">
        <w:t xml:space="preserve"> ». </w:t>
      </w:r>
    </w:p>
    <w:p w:rsidR="00DF73AE" w:rsidRPr="00DF73AE" w:rsidRDefault="00DF73AE" w:rsidP="000365EB">
      <w:pPr>
        <w:spacing w:after="210"/>
        <w:ind w:left="709"/>
      </w:pPr>
      <w:r w:rsidRPr="00DF73AE">
        <w:t xml:space="preserve">Les différentes fédérations et corporations de commerçants (et notamment l'Alliance du Commerce) sollicitent le gouvernement afin que celui-ci demande à tous les bailleurs d'annuler purement et simplement les loyers dus durant la période de fermeture administrative. </w:t>
      </w:r>
    </w:p>
    <w:p w:rsidR="00DF73AE" w:rsidRPr="00DF73AE" w:rsidRDefault="00DF73AE" w:rsidP="000365EB">
      <w:pPr>
        <w:spacing w:after="210"/>
        <w:ind w:left="709"/>
      </w:pPr>
      <w:r w:rsidRPr="00DF73AE">
        <w:lastRenderedPageBreak/>
        <w:t xml:space="preserve">Lors de son allocution télévisée du 16 mars 2020, le Président de la République a annoncé que le paiement des loyers dus par les entreprises touchées par la crise sanitaire allait être suspendu, pendant toute la durée de la crise. Les modalités concrètes d'une telle mesure, et notamment l'éventuelle prise en charge de ces loyers par l'Etat, doivent encore être précisées par le gouvernement. </w:t>
      </w:r>
    </w:p>
    <w:p w:rsidR="00DF73AE" w:rsidRPr="00DF73AE" w:rsidRDefault="00BA293D" w:rsidP="00BA293D">
      <w:pPr>
        <w:pStyle w:val="Heading2"/>
      </w:pPr>
      <w:r w:rsidRPr="00DF73AE">
        <w:rPr>
          <w:u w:val="single"/>
        </w:rPr>
        <w:t xml:space="preserve">Qu'en est-il du paiement des autres charges courantes des entreprises impactées par la crise sanitaire ?   </w:t>
      </w:r>
    </w:p>
    <w:p w:rsidR="00DF73AE" w:rsidRPr="00DF73AE" w:rsidRDefault="00DF73AE" w:rsidP="00DF73AE">
      <w:pPr>
        <w:spacing w:after="210"/>
        <w:ind w:left="709"/>
      </w:pPr>
      <w:r w:rsidRPr="00DF73AE">
        <w:t xml:space="preserve">Le Président de la République a annoncé, lors de son allocution télévisée du 16 mars 2020, que le paiement des autres charges opérationnelles courantes (eau, gaz, électricité, etc.) des entreprises confrontées à des difficultés liées à la crise sanitaire serait « </w:t>
      </w:r>
      <w:r w:rsidRPr="00DF73AE">
        <w:rPr>
          <w:i/>
          <w:iCs/>
        </w:rPr>
        <w:t>suspendu</w:t>
      </w:r>
      <w:r w:rsidRPr="00DF73AE">
        <w:t xml:space="preserve"> », pour éviter le risque de faillites. </w:t>
      </w:r>
    </w:p>
    <w:p w:rsidR="00DF73AE" w:rsidRPr="00DF73AE" w:rsidRDefault="00DF73AE" w:rsidP="00DF73AE">
      <w:pPr>
        <w:spacing w:after="210"/>
        <w:ind w:left="709"/>
      </w:pPr>
      <w:r w:rsidRPr="00DF73AE">
        <w:t xml:space="preserve">Les modalités concrètes de mise en œuvre d'une telle mesure restent toutefois à déterminer. Une éventuelle prise en charge de ces dépenses par l'Etat est actuellement à l'étude. </w:t>
      </w:r>
    </w:p>
    <w:p w:rsidR="00DF73AE" w:rsidRPr="00DF73AE" w:rsidRDefault="00BA293D" w:rsidP="00BA293D">
      <w:pPr>
        <w:pStyle w:val="Heading2"/>
      </w:pPr>
      <w:r w:rsidRPr="00DF73AE">
        <w:rPr>
          <w:u w:val="single"/>
        </w:rPr>
        <w:t>Les entreprises sont-elles autorisées à allonger leurs délais de paiement pour financer leur besoin en fonds de roulement ?</w:t>
      </w:r>
    </w:p>
    <w:p w:rsidR="00DF73AE" w:rsidRPr="00DF73AE" w:rsidRDefault="00DF73AE" w:rsidP="00DF73AE">
      <w:pPr>
        <w:spacing w:after="210"/>
        <w:ind w:left="709"/>
      </w:pPr>
      <w:r w:rsidRPr="00DF73AE">
        <w:t xml:space="preserve">Le gouvernement a annoncé que, pour l'heure, il n'était pas envisagé d'assouplir les règles relatives aux délais de paiement des fournisseurs. En revanche, à titre volontaire, les entreprises peuvent convenir entre elles de délais de paiement plus longs. Le gouvernement a indiqué qu' « </w:t>
      </w:r>
      <w:r w:rsidRPr="00DF73AE">
        <w:rPr>
          <w:i/>
          <w:iCs/>
        </w:rPr>
        <w:t>à titre exceptionnel, il n'y aurait pas de sanction de la DGCCRF</w:t>
      </w:r>
      <w:r w:rsidRPr="00DF73AE">
        <w:t xml:space="preserve"> » si les entreprises concluent de tels accords. </w:t>
      </w:r>
    </w:p>
    <w:p w:rsidR="00DF73AE" w:rsidRDefault="00DF73AE" w:rsidP="00DF73AE">
      <w:pPr>
        <w:spacing w:after="210"/>
        <w:ind w:left="709"/>
      </w:pPr>
      <w:r w:rsidRPr="00DF73AE">
        <w:t xml:space="preserve">Toutefois, aucune communication officielle n'a été faite sur ce sujet. Les entreprises sont donc invitées à rester prudentes. </w:t>
      </w:r>
    </w:p>
    <w:p w:rsidR="00DF73AE" w:rsidRPr="00500D45" w:rsidRDefault="00DF73AE" w:rsidP="00206373">
      <w:pPr>
        <w:spacing w:after="210"/>
        <w:ind w:left="142"/>
      </w:pPr>
      <w:r w:rsidRPr="00DF73AE">
        <w:t xml:space="preserve"> </w:t>
      </w:r>
    </w:p>
    <w:sectPr w:rsidR="00DF73AE" w:rsidRPr="00500D45">
      <w:headerReference w:type="default" r:id="rId11"/>
      <w:footerReference w:type="default" r:id="rId12"/>
      <w:footerReference w:type="first" r:id="rId13"/>
      <w:pgSz w:w="11906" w:h="16838" w:code="9"/>
      <w:pgMar w:top="567" w:right="1440" w:bottom="851" w:left="1440" w:header="425" w:footer="737" w:gutter="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D45" w:rsidRDefault="00500D45">
      <w:pPr>
        <w:spacing w:line="240" w:lineRule="auto"/>
      </w:pPr>
      <w:r>
        <w:separator/>
      </w:r>
    </w:p>
  </w:endnote>
  <w:endnote w:type="continuationSeparator" w:id="0">
    <w:p w:rsidR="00500D45" w:rsidRDefault="00500D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13300"/>
      <w:docPartObj>
        <w:docPartGallery w:val="Page Numbers (Bottom of Page)"/>
        <w:docPartUnique/>
      </w:docPartObj>
    </w:sdtPr>
    <w:sdtEndPr/>
    <w:sdtContent>
      <w:p w:rsidR="00206373" w:rsidRDefault="00206373" w:rsidP="00206373">
        <w:pPr>
          <w:pStyle w:val="Header"/>
          <w:jc w:val="center"/>
        </w:pPr>
        <w:r>
          <w:t xml:space="preserve">- </w:t>
        </w:r>
        <w:r>
          <w:fldChar w:fldCharType="begin"/>
        </w:r>
        <w:r>
          <w:instrText xml:space="preserve"> PAGE  \* MERGEFORMAT </w:instrText>
        </w:r>
        <w:r>
          <w:fldChar w:fldCharType="separate"/>
        </w:r>
        <w:r w:rsidR="0010253D">
          <w:rPr>
            <w:noProof/>
          </w:rPr>
          <w:t>2</w:t>
        </w:r>
        <w:r>
          <w:fldChar w:fldCharType="end"/>
        </w:r>
        <w:r>
          <w:t xml:space="preserve"> -</w:t>
        </w:r>
      </w:p>
    </w:sdtContent>
  </w:sdt>
  <w:p w:rsidR="00182936" w:rsidRDefault="00182936" w:rsidP="00B74A43">
    <w:pPr>
      <w:pStyle w:val="Footer"/>
      <w:tabs>
        <w:tab w:val="clear" w:pos="9072"/>
        <w:tab w:val="right" w:pos="901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A43" w:rsidRDefault="0010253D" w:rsidP="00B74A43">
    <w:pPr>
      <w:pStyle w:val="Footer"/>
      <w:tabs>
        <w:tab w:val="clear" w:pos="9072"/>
        <w:tab w:val="right" w:pos="9015"/>
      </w:tabs>
    </w:pPr>
    <w:sdt>
      <w:sdtPr>
        <w:alias w:val="Firm name"/>
        <w:tag w:val="FirmName"/>
        <w:id w:val="1600606841"/>
        <w:showingPlcHdr/>
        <w:text/>
      </w:sdtPr>
      <w:sdtEndPr/>
      <w:sdtContent>
        <w:r w:rsidR="00206373">
          <w:t xml:space="preserve">     </w:t>
        </w:r>
      </w:sdtContent>
    </w:sdt>
  </w:p>
  <w:p w:rsidR="00B74A43" w:rsidRDefault="00B74A43" w:rsidP="00B74A43">
    <w:pPr>
      <w:pStyle w:val="Footer"/>
      <w:tabs>
        <w:tab w:val="clear" w:pos="9072"/>
        <w:tab w:val="right" w:pos="90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D45" w:rsidRDefault="00500D45">
      <w:pPr>
        <w:pBdr>
          <w:top w:val="single" w:sz="4" w:space="1" w:color="auto"/>
        </w:pBdr>
      </w:pPr>
    </w:p>
  </w:footnote>
  <w:footnote w:type="continuationSeparator" w:id="0">
    <w:p w:rsidR="00500D45" w:rsidRDefault="00500D45">
      <w:pPr>
        <w:pBdr>
          <w:top w:val="single" w:sz="4" w:space="1" w:color="auto"/>
        </w:pBd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936" w:rsidRDefault="00182936">
    <w:pPr>
      <w:pStyle w:val="Header"/>
    </w:pPr>
  </w:p>
  <w:p w:rsidR="00C6142B" w:rsidRDefault="00C614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15AB9B2"/>
    <w:lvl w:ilvl="0">
      <w:start w:val="1"/>
      <w:numFmt w:val="decimal"/>
      <w:lvlText w:val="%1."/>
      <w:lvlJc w:val="left"/>
      <w:pPr>
        <w:tabs>
          <w:tab w:val="num" w:pos="1492"/>
        </w:tabs>
        <w:ind w:left="1492" w:hanging="360"/>
      </w:pPr>
    </w:lvl>
  </w:abstractNum>
  <w:abstractNum w:abstractNumId="1">
    <w:nsid w:val="FFFFFF7D"/>
    <w:multiLevelType w:val="singleLevel"/>
    <w:tmpl w:val="85A69E92"/>
    <w:lvl w:ilvl="0">
      <w:start w:val="1"/>
      <w:numFmt w:val="decimal"/>
      <w:lvlText w:val="%1."/>
      <w:lvlJc w:val="left"/>
      <w:pPr>
        <w:tabs>
          <w:tab w:val="num" w:pos="1209"/>
        </w:tabs>
        <w:ind w:left="1209" w:hanging="360"/>
      </w:pPr>
    </w:lvl>
  </w:abstractNum>
  <w:abstractNum w:abstractNumId="2">
    <w:nsid w:val="FFFFFF7E"/>
    <w:multiLevelType w:val="singleLevel"/>
    <w:tmpl w:val="4EA6BE80"/>
    <w:lvl w:ilvl="0">
      <w:start w:val="1"/>
      <w:numFmt w:val="decimal"/>
      <w:lvlText w:val="%1."/>
      <w:lvlJc w:val="left"/>
      <w:pPr>
        <w:tabs>
          <w:tab w:val="num" w:pos="926"/>
        </w:tabs>
        <w:ind w:left="926" w:hanging="360"/>
      </w:pPr>
    </w:lvl>
  </w:abstractNum>
  <w:abstractNum w:abstractNumId="3">
    <w:nsid w:val="FFFFFF7F"/>
    <w:multiLevelType w:val="singleLevel"/>
    <w:tmpl w:val="145EBD28"/>
    <w:lvl w:ilvl="0">
      <w:start w:val="1"/>
      <w:numFmt w:val="decimal"/>
      <w:lvlText w:val="%1."/>
      <w:lvlJc w:val="left"/>
      <w:pPr>
        <w:tabs>
          <w:tab w:val="num" w:pos="643"/>
        </w:tabs>
        <w:ind w:left="643" w:hanging="360"/>
      </w:pPr>
    </w:lvl>
  </w:abstractNum>
  <w:abstractNum w:abstractNumId="4">
    <w:nsid w:val="FFFFFF80"/>
    <w:multiLevelType w:val="singleLevel"/>
    <w:tmpl w:val="9050B0B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57CCF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BB2B7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8AC99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FDE1BF8"/>
    <w:lvl w:ilvl="0">
      <w:start w:val="1"/>
      <w:numFmt w:val="decimal"/>
      <w:lvlText w:val="%1."/>
      <w:lvlJc w:val="left"/>
      <w:pPr>
        <w:tabs>
          <w:tab w:val="num" w:pos="360"/>
        </w:tabs>
        <w:ind w:left="360" w:hanging="360"/>
      </w:pPr>
    </w:lvl>
  </w:abstractNum>
  <w:abstractNum w:abstractNumId="9">
    <w:nsid w:val="FFFFFF89"/>
    <w:multiLevelType w:val="singleLevel"/>
    <w:tmpl w:val="F012781A"/>
    <w:lvl w:ilvl="0">
      <w:start w:val="1"/>
      <w:numFmt w:val="bullet"/>
      <w:lvlText w:val=""/>
      <w:lvlJc w:val="left"/>
      <w:pPr>
        <w:tabs>
          <w:tab w:val="num" w:pos="360"/>
        </w:tabs>
        <w:ind w:left="360" w:hanging="360"/>
      </w:pPr>
      <w:rPr>
        <w:rFonts w:ascii="Symbol" w:hAnsi="Symbol" w:hint="default"/>
      </w:rPr>
    </w:lvl>
  </w:abstractNum>
  <w:abstractNum w:abstractNumId="10">
    <w:nsid w:val="0FE74F7D"/>
    <w:multiLevelType w:val="multilevel"/>
    <w:tmpl w:val="0790824A"/>
    <w:name w:val="CustomListNum"/>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11F80EA5"/>
    <w:multiLevelType w:val="hybridMultilevel"/>
    <w:tmpl w:val="03F657DC"/>
    <w:lvl w:ilvl="0" w:tplc="B71C1D4A">
      <w:start w:val="1"/>
      <w:numFmt w:val="bullet"/>
      <w:lvlText w:val="̶"/>
      <w:lvlJc w:val="left"/>
      <w:pPr>
        <w:ind w:left="1429"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3B5547"/>
    <w:multiLevelType w:val="hybridMultilevel"/>
    <w:tmpl w:val="A888E40E"/>
    <w:lvl w:ilvl="0" w:tplc="3050F75C">
      <w:start w:val="1"/>
      <w:numFmt w:val="upperLetter"/>
      <w:pStyle w:val="Recitals"/>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1998034E"/>
    <w:multiLevelType w:val="hybridMultilevel"/>
    <w:tmpl w:val="B78E76CA"/>
    <w:lvl w:ilvl="0" w:tplc="ED349F5A">
      <w:start w:val="1"/>
      <w:numFmt w:val="decimal"/>
      <w:pStyle w:val="TOC4"/>
      <w:lvlText w:val="%1."/>
      <w:lvlJc w:val="left"/>
      <w:pPr>
        <w:ind w:left="360" w:hanging="360"/>
      </w:pPr>
      <w:rPr>
        <w:rFonts w:ascii="Arial" w:hAnsi="Arial" w:hint="default"/>
        <w:b/>
        <w:i w:val="0"/>
        <w:sz w:val="21"/>
      </w:rPr>
    </w:lvl>
    <w:lvl w:ilvl="1" w:tplc="08090019" w:tentative="1">
      <w:start w:val="1"/>
      <w:numFmt w:val="lowerLetter"/>
      <w:lvlText w:val="%2."/>
      <w:lvlJc w:val="left"/>
      <w:pPr>
        <w:ind w:left="3566" w:hanging="360"/>
      </w:pPr>
    </w:lvl>
    <w:lvl w:ilvl="2" w:tplc="0809001B" w:tentative="1">
      <w:start w:val="1"/>
      <w:numFmt w:val="lowerRoman"/>
      <w:lvlText w:val="%3."/>
      <w:lvlJc w:val="right"/>
      <w:pPr>
        <w:ind w:left="4286" w:hanging="180"/>
      </w:pPr>
    </w:lvl>
    <w:lvl w:ilvl="3" w:tplc="0809000F" w:tentative="1">
      <w:start w:val="1"/>
      <w:numFmt w:val="decimal"/>
      <w:lvlText w:val="%4."/>
      <w:lvlJc w:val="left"/>
      <w:pPr>
        <w:ind w:left="5006" w:hanging="360"/>
      </w:pPr>
    </w:lvl>
    <w:lvl w:ilvl="4" w:tplc="08090019" w:tentative="1">
      <w:start w:val="1"/>
      <w:numFmt w:val="lowerLetter"/>
      <w:lvlText w:val="%5."/>
      <w:lvlJc w:val="left"/>
      <w:pPr>
        <w:ind w:left="5726" w:hanging="360"/>
      </w:pPr>
    </w:lvl>
    <w:lvl w:ilvl="5" w:tplc="0809001B" w:tentative="1">
      <w:start w:val="1"/>
      <w:numFmt w:val="lowerRoman"/>
      <w:lvlText w:val="%6."/>
      <w:lvlJc w:val="right"/>
      <w:pPr>
        <w:ind w:left="6446" w:hanging="180"/>
      </w:pPr>
    </w:lvl>
    <w:lvl w:ilvl="6" w:tplc="0809000F" w:tentative="1">
      <w:start w:val="1"/>
      <w:numFmt w:val="decimal"/>
      <w:lvlText w:val="%7."/>
      <w:lvlJc w:val="left"/>
      <w:pPr>
        <w:ind w:left="7166" w:hanging="360"/>
      </w:pPr>
    </w:lvl>
    <w:lvl w:ilvl="7" w:tplc="08090019" w:tentative="1">
      <w:start w:val="1"/>
      <w:numFmt w:val="lowerLetter"/>
      <w:lvlText w:val="%8."/>
      <w:lvlJc w:val="left"/>
      <w:pPr>
        <w:ind w:left="7886" w:hanging="360"/>
      </w:pPr>
    </w:lvl>
    <w:lvl w:ilvl="8" w:tplc="0809001B" w:tentative="1">
      <w:start w:val="1"/>
      <w:numFmt w:val="lowerRoman"/>
      <w:lvlText w:val="%9."/>
      <w:lvlJc w:val="right"/>
      <w:pPr>
        <w:ind w:left="8606" w:hanging="180"/>
      </w:pPr>
    </w:lvl>
  </w:abstractNum>
  <w:abstractNum w:abstractNumId="14">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pStyle w:val="Heading4"/>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3170605F"/>
    <w:multiLevelType w:val="multilevel"/>
    <w:tmpl w:val="05EA2F5C"/>
    <w:name w:val="SchCustomListNum"/>
    <w:styleLink w:val="SchCustomList"/>
    <w:lvl w:ilvl="0">
      <w:start w:val="1"/>
      <w:numFmt w:val="none"/>
      <w:pStyle w:val="SchTitle"/>
      <w:suff w:val="nothing"/>
      <w:lvlText w:val=""/>
      <w:lvlJc w:val="left"/>
      <w:pPr>
        <w:ind w:left="0" w:firstLine="0"/>
      </w:pPr>
      <w:rPr>
        <w:rFonts w:ascii="Arial" w:hAnsi="Arial" w:cs="Arial" w:hint="default"/>
        <w:b w:val="0"/>
      </w:rPr>
    </w:lvl>
    <w:lvl w:ilvl="1">
      <w:start w:val="1"/>
      <w:numFmt w:val="none"/>
      <w:pStyle w:val="SchSubtitle"/>
      <w:isLgl/>
      <w:suff w:val="nothing"/>
      <w:lvlText w:val=""/>
      <w:lvlJc w:val="left"/>
      <w:pPr>
        <w:ind w:left="0" w:firstLine="0"/>
      </w:pPr>
      <w:rPr>
        <w:rFonts w:ascii="Arial" w:hAnsi="Arial" w:cs="Arial" w:hint="default"/>
        <w:b w:val="0"/>
      </w:rPr>
    </w:lvl>
    <w:lvl w:ilvl="2">
      <w:start w:val="1"/>
      <w:numFmt w:val="decimal"/>
      <w:pStyle w:val="SchNumber1"/>
      <w:lvlText w:val="%3."/>
      <w:lvlJc w:val="left"/>
      <w:pPr>
        <w:tabs>
          <w:tab w:val="num" w:pos="709"/>
        </w:tabs>
        <w:ind w:left="709" w:hanging="709"/>
      </w:pPr>
      <w:rPr>
        <w:rFonts w:ascii="Arial" w:hAnsi="Arial" w:cs="Arial" w:hint="default"/>
        <w:b w:val="0"/>
      </w:rPr>
    </w:lvl>
    <w:lvl w:ilvl="3">
      <w:start w:val="1"/>
      <w:numFmt w:val="decimal"/>
      <w:pStyle w:val="SchNumber2"/>
      <w:lvlText w:val="%3.%4"/>
      <w:lvlJc w:val="left"/>
      <w:pPr>
        <w:tabs>
          <w:tab w:val="num" w:pos="709"/>
        </w:tabs>
        <w:ind w:left="709" w:hanging="709"/>
      </w:pPr>
      <w:rPr>
        <w:rFonts w:ascii="Arial" w:hAnsi="Arial" w:cs="Arial" w:hint="default"/>
        <w:b w:val="0"/>
      </w:rPr>
    </w:lvl>
    <w:lvl w:ilvl="4">
      <w:start w:val="1"/>
      <w:numFmt w:val="lowerLetter"/>
      <w:pStyle w:val="SchNumber3"/>
      <w:lvlText w:val="(%5)"/>
      <w:lvlJc w:val="left"/>
      <w:pPr>
        <w:tabs>
          <w:tab w:val="num" w:pos="1418"/>
        </w:tabs>
        <w:ind w:left="1418" w:hanging="709"/>
      </w:pPr>
      <w:rPr>
        <w:rFonts w:ascii="Arial" w:hAnsi="Arial" w:cs="Arial" w:hint="default"/>
        <w:b w:val="0"/>
      </w:rPr>
    </w:lvl>
    <w:lvl w:ilvl="5">
      <w:start w:val="1"/>
      <w:numFmt w:val="lowerRoman"/>
      <w:pStyle w:val="SchNumber4"/>
      <w:lvlText w:val="(%6)"/>
      <w:lvlJc w:val="left"/>
      <w:pPr>
        <w:tabs>
          <w:tab w:val="num" w:pos="2126"/>
        </w:tabs>
        <w:ind w:left="2126" w:hanging="708"/>
      </w:pPr>
      <w:rPr>
        <w:rFonts w:hint="default"/>
      </w:rPr>
    </w:lvl>
    <w:lvl w:ilvl="6">
      <w:start w:val="1"/>
      <w:numFmt w:val="decimal"/>
      <w:pStyle w:val="SchNumber5"/>
      <w:lvlText w:val="(%7)"/>
      <w:lvlJc w:val="left"/>
      <w:pPr>
        <w:tabs>
          <w:tab w:val="num" w:pos="2835"/>
        </w:tabs>
        <w:ind w:left="2835" w:hanging="709"/>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31680"/>
        </w:tabs>
        <w:ind w:left="0" w:firstLine="0"/>
      </w:pPr>
      <w:rPr>
        <w:rFonts w:hint="default"/>
      </w:rPr>
    </w:lvl>
  </w:abstractNum>
  <w:abstractNum w:abstractNumId="16">
    <w:nsid w:val="355C5091"/>
    <w:multiLevelType w:val="multilevel"/>
    <w:tmpl w:val="0409001D"/>
    <w:name w:val="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9733166"/>
    <w:multiLevelType w:val="hybridMultilevel"/>
    <w:tmpl w:val="3C865FF6"/>
    <w:lvl w:ilvl="0" w:tplc="DAC69E5A">
      <w:start w:val="1"/>
      <w:numFmt w:val="decimal"/>
      <w:pStyle w:val="Parties"/>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77067F3D"/>
    <w:multiLevelType w:val="hybridMultilevel"/>
    <w:tmpl w:val="1396BCAC"/>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nsid w:val="7F8567A6"/>
    <w:multiLevelType w:val="hybridMultilevel"/>
    <w:tmpl w:val="206C2D9E"/>
    <w:lvl w:ilvl="0" w:tplc="B4688C1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4"/>
  </w:num>
  <w:num w:numId="3">
    <w:abstractNumId w:val="17"/>
  </w:num>
  <w:num w:numId="4">
    <w:abstractNumId w:val="12"/>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9"/>
  </w:num>
  <w:num w:numId="18">
    <w:abstractNumId w:val="11"/>
  </w:num>
  <w:num w:numId="19">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TrueTypeFonts/>
  <w:saveSubset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SLINK" w:val="true"/>
    <w:docVar w:name="DMSREF" w:val="PCDOCS\LWDSUPP01\182397\1"/>
  </w:docVars>
  <w:rsids>
    <w:rsidRoot w:val="00500D45"/>
    <w:rsid w:val="000365EB"/>
    <w:rsid w:val="0004126D"/>
    <w:rsid w:val="00077F5C"/>
    <w:rsid w:val="000977E6"/>
    <w:rsid w:val="000A1762"/>
    <w:rsid w:val="000C372E"/>
    <w:rsid w:val="000E0223"/>
    <w:rsid w:val="000E63E5"/>
    <w:rsid w:val="000F054A"/>
    <w:rsid w:val="000F54B5"/>
    <w:rsid w:val="0010253D"/>
    <w:rsid w:val="00140D2C"/>
    <w:rsid w:val="00142AB5"/>
    <w:rsid w:val="00176FF7"/>
    <w:rsid w:val="00182936"/>
    <w:rsid w:val="001A32B1"/>
    <w:rsid w:val="001B71BE"/>
    <w:rsid w:val="001D6C0A"/>
    <w:rsid w:val="00206373"/>
    <w:rsid w:val="0021777F"/>
    <w:rsid w:val="002268CC"/>
    <w:rsid w:val="00241A24"/>
    <w:rsid w:val="00282478"/>
    <w:rsid w:val="002C49E1"/>
    <w:rsid w:val="002E249E"/>
    <w:rsid w:val="002E7B9A"/>
    <w:rsid w:val="002F637D"/>
    <w:rsid w:val="003021B8"/>
    <w:rsid w:val="00316D3F"/>
    <w:rsid w:val="00321CD2"/>
    <w:rsid w:val="003406ED"/>
    <w:rsid w:val="00342403"/>
    <w:rsid w:val="0035450A"/>
    <w:rsid w:val="00362B5E"/>
    <w:rsid w:val="003863DE"/>
    <w:rsid w:val="003B27F7"/>
    <w:rsid w:val="003D64E0"/>
    <w:rsid w:val="003E4C7C"/>
    <w:rsid w:val="003E7E14"/>
    <w:rsid w:val="003F21DE"/>
    <w:rsid w:val="004067BD"/>
    <w:rsid w:val="00423B93"/>
    <w:rsid w:val="00424479"/>
    <w:rsid w:val="00463BC7"/>
    <w:rsid w:val="004B7599"/>
    <w:rsid w:val="004E714B"/>
    <w:rsid w:val="00500D45"/>
    <w:rsid w:val="005126C5"/>
    <w:rsid w:val="00535ACA"/>
    <w:rsid w:val="00550EA0"/>
    <w:rsid w:val="005758BD"/>
    <w:rsid w:val="00586FD4"/>
    <w:rsid w:val="00597EF4"/>
    <w:rsid w:val="00633E0E"/>
    <w:rsid w:val="00656E5A"/>
    <w:rsid w:val="006612A7"/>
    <w:rsid w:val="00663B1A"/>
    <w:rsid w:val="006A2F60"/>
    <w:rsid w:val="006B210A"/>
    <w:rsid w:val="006B33BF"/>
    <w:rsid w:val="006B77B8"/>
    <w:rsid w:val="006C0FC8"/>
    <w:rsid w:val="006C2D5A"/>
    <w:rsid w:val="006E3EE3"/>
    <w:rsid w:val="006F76D9"/>
    <w:rsid w:val="00701AD6"/>
    <w:rsid w:val="00730919"/>
    <w:rsid w:val="007F62E8"/>
    <w:rsid w:val="00810000"/>
    <w:rsid w:val="00827857"/>
    <w:rsid w:val="008510DD"/>
    <w:rsid w:val="008D27CB"/>
    <w:rsid w:val="008D7B75"/>
    <w:rsid w:val="009006ED"/>
    <w:rsid w:val="0090317C"/>
    <w:rsid w:val="00905693"/>
    <w:rsid w:val="009275AF"/>
    <w:rsid w:val="00936E48"/>
    <w:rsid w:val="0097339F"/>
    <w:rsid w:val="009739B7"/>
    <w:rsid w:val="00973E95"/>
    <w:rsid w:val="009840C4"/>
    <w:rsid w:val="00992D0F"/>
    <w:rsid w:val="00997C91"/>
    <w:rsid w:val="009B284D"/>
    <w:rsid w:val="009B329A"/>
    <w:rsid w:val="009D3AE2"/>
    <w:rsid w:val="009E674B"/>
    <w:rsid w:val="00A100BA"/>
    <w:rsid w:val="00A11A0E"/>
    <w:rsid w:val="00A36142"/>
    <w:rsid w:val="00A4307E"/>
    <w:rsid w:val="00A74EF8"/>
    <w:rsid w:val="00A97195"/>
    <w:rsid w:val="00AA0273"/>
    <w:rsid w:val="00AB5B42"/>
    <w:rsid w:val="00AC6A58"/>
    <w:rsid w:val="00AC6B4F"/>
    <w:rsid w:val="00AD0DE3"/>
    <w:rsid w:val="00AE343D"/>
    <w:rsid w:val="00B0241F"/>
    <w:rsid w:val="00B02BC3"/>
    <w:rsid w:val="00B04B04"/>
    <w:rsid w:val="00B337D2"/>
    <w:rsid w:val="00B6595B"/>
    <w:rsid w:val="00B65A7A"/>
    <w:rsid w:val="00B7057E"/>
    <w:rsid w:val="00B71083"/>
    <w:rsid w:val="00B72E76"/>
    <w:rsid w:val="00B74A43"/>
    <w:rsid w:val="00B80A33"/>
    <w:rsid w:val="00BA047F"/>
    <w:rsid w:val="00BA20EA"/>
    <w:rsid w:val="00BA293D"/>
    <w:rsid w:val="00BA2A0D"/>
    <w:rsid w:val="00BA2C3C"/>
    <w:rsid w:val="00BD5396"/>
    <w:rsid w:val="00BD7278"/>
    <w:rsid w:val="00BE2480"/>
    <w:rsid w:val="00BE76B1"/>
    <w:rsid w:val="00C04CCC"/>
    <w:rsid w:val="00C26349"/>
    <w:rsid w:val="00C36263"/>
    <w:rsid w:val="00C46C82"/>
    <w:rsid w:val="00C6142B"/>
    <w:rsid w:val="00C817B3"/>
    <w:rsid w:val="00C81FA9"/>
    <w:rsid w:val="00CB397A"/>
    <w:rsid w:val="00D57CB0"/>
    <w:rsid w:val="00D77BCE"/>
    <w:rsid w:val="00D8653B"/>
    <w:rsid w:val="00DA1807"/>
    <w:rsid w:val="00DA51A3"/>
    <w:rsid w:val="00DB22FE"/>
    <w:rsid w:val="00DC5CB2"/>
    <w:rsid w:val="00DD65EF"/>
    <w:rsid w:val="00DE6D77"/>
    <w:rsid w:val="00DF50E8"/>
    <w:rsid w:val="00DF73AE"/>
    <w:rsid w:val="00E2468E"/>
    <w:rsid w:val="00E310FD"/>
    <w:rsid w:val="00E414F7"/>
    <w:rsid w:val="00E473B4"/>
    <w:rsid w:val="00E51D12"/>
    <w:rsid w:val="00E63439"/>
    <w:rsid w:val="00E6377F"/>
    <w:rsid w:val="00E6660E"/>
    <w:rsid w:val="00E732E3"/>
    <w:rsid w:val="00E81E75"/>
    <w:rsid w:val="00E92CF1"/>
    <w:rsid w:val="00EB64BC"/>
    <w:rsid w:val="00F1547A"/>
    <w:rsid w:val="00F62153"/>
    <w:rsid w:val="00F76D9E"/>
    <w:rsid w:val="00F86106"/>
    <w:rsid w:val="00F87E22"/>
    <w:rsid w:val="00FF0855"/>
  </w:rsids>
  <m:mathPr>
    <m:mathFont m:val="Cambria Math"/>
    <m:brkBin m:val="before"/>
    <m:brkBinSub m:val="--"/>
    <m:smallFrac m:val="0"/>
    <m:dispDef/>
    <m:lMargin m:val="0"/>
    <m:rMargin m:val="0"/>
    <m:defJc m:val="centerGroup"/>
    <m:wrapIndent m:val="1440"/>
    <m:intLim m:val="subSup"/>
    <m:naryLim m:val="undOvr"/>
  </m:mathPr>
  <w:attachedSchema w:val="HL_DocumentInformation"/>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GB" w:eastAsia="en-GB" w:bidi="ar-SA"/>
      </w:rPr>
    </w:rPrDefault>
    <w:pPrDefault>
      <w:pPr>
        <w:spacing w:line="264"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4" w:uiPriority="39"/>
    <w:lsdException w:name="header" w:uiPriority="13"/>
    <w:lsdException w:name="footer" w:uiPriority="13"/>
    <w:lsdException w:name="List" w:uiPriority="29"/>
    <w:lsdException w:name="List Bullet" w:uiPriority="29"/>
    <w:lsdException w:name="List Number" w:uiPriority="29"/>
    <w:lsdException w:name="List 2" w:uiPriority="29"/>
    <w:lsdException w:name="List 3" w:uiPriority="29"/>
    <w:lsdException w:name="List 4" w:uiPriority="29"/>
    <w:lsdException w:name="List 5" w:uiPriority="29"/>
    <w:lsdException w:name="List Bullet 2" w:uiPriority="29"/>
    <w:lsdException w:name="List Bullet 3" w:uiPriority="29"/>
    <w:lsdException w:name="List Bullet 4" w:uiPriority="29"/>
    <w:lsdException w:name="List Bullet 5" w:uiPriority="29"/>
    <w:lsdException w:name="List Number 2" w:uiPriority="29"/>
    <w:lsdException w:name="List Number 3" w:uiPriority="29"/>
    <w:lsdException w:name="List Number 4" w:uiPriority="29"/>
    <w:lsdException w:name="List Number 5" w:uiPriority="29"/>
    <w:lsdException w:name="List Continue" w:uiPriority="29"/>
    <w:lsdException w:name="List Continue 2" w:uiPriority="29"/>
    <w:lsdException w:name="List Continue 3" w:uiPriority="29"/>
    <w:lsdException w:name="List Continue 4" w:uiPriority="29"/>
    <w:lsdException w:name="List Continue 5" w:uiPriority="29"/>
    <w:lsdException w:name="Hyperlink" w:uiPriority="99"/>
    <w:lsdException w:name="Strong" w:semiHidden="1" w:uiPriority="33"/>
    <w:lsdException w:name="E-mail Signature" w:semiHidden="1" w:uiPriority="17"/>
    <w:lsdException w:name="HTML Acronym" w:uiPriority="29"/>
    <w:lsdException w:name="HTML Address" w:uiPriority="29"/>
    <w:lsdException w:name="HTML Cite" w:uiPriority="29"/>
    <w:lsdException w:name="HTML Code" w:uiPriority="29"/>
    <w:lsdException w:name="HTML Definition" w:uiPriority="29"/>
    <w:lsdException w:name="HTML Keyboard" w:uiPriority="29"/>
    <w:lsdException w:name="HTML Preformatted" w:uiPriority="29"/>
    <w:lsdException w:name="HTML Sample" w:uiPriority="29"/>
    <w:lsdException w:name="HTML Typewriter" w:uiPriority="29"/>
    <w:lsdException w:name="HTML Variable" w:uiPriority="29"/>
    <w:lsdException w:name="annotation subject" w:semiHidden="1" w:uiPriority="17" w:unhideWhenUsed="1"/>
    <w:lsdException w:name="Placeholder Text" w:semiHidden="1" w:uiPriority="99"/>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semiHidden="1" w:uiPriority="4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34"/>
    <w:lsdException w:name="Intense Emphasis" w:semiHidden="1" w:uiPriority="59"/>
    <w:lsdException w:name="Subtle Reference" w:semiHidden="1" w:uiPriority="41" w:qFormat="1"/>
    <w:lsdException w:name="Intense Reference" w:semiHidden="1" w:uiPriority="59" w:qFormat="1"/>
    <w:lsdException w:name="Book Title" w:uiPriority="33"/>
    <w:lsdException w:name="Bibliography" w:semiHidden="1" w:uiPriority="47" w:unhideWhenUsed="1"/>
    <w:lsdException w:name="TOC Heading" w:semiHidden="1" w:uiPriority="39" w:unhideWhenUsed="1"/>
  </w:latentStyles>
  <w:style w:type="paragraph" w:default="1" w:styleId="Normal">
    <w:name w:val="Normal"/>
    <w:uiPriority w:val="7"/>
    <w:qFormat/>
    <w:rsid w:val="00D67411"/>
    <w:rPr>
      <w:rFonts w:eastAsia="Arial Unicode MS"/>
      <w:lang w:val="fr-FR"/>
    </w:rPr>
  </w:style>
  <w:style w:type="paragraph" w:styleId="Heading1">
    <w:name w:val="heading 1"/>
    <w:basedOn w:val="Level1"/>
    <w:next w:val="Body2"/>
    <w:link w:val="Heading1Char"/>
    <w:uiPriority w:val="4"/>
    <w:qFormat/>
    <w:rsid w:val="00002F65"/>
    <w:pPr>
      <w:keepNext/>
    </w:pPr>
    <w:rPr>
      <w:b/>
      <w:smallCaps/>
    </w:rPr>
  </w:style>
  <w:style w:type="paragraph" w:styleId="Heading2">
    <w:name w:val="heading 2"/>
    <w:basedOn w:val="Level2"/>
    <w:next w:val="Body2"/>
    <w:link w:val="Heading2Char"/>
    <w:uiPriority w:val="4"/>
    <w:qFormat/>
    <w:rsid w:val="00002F65"/>
    <w:pPr>
      <w:keepNext/>
    </w:pPr>
    <w:rPr>
      <w:b/>
    </w:rPr>
  </w:style>
  <w:style w:type="paragraph" w:styleId="Heading3">
    <w:name w:val="heading 3"/>
    <w:basedOn w:val="Level3"/>
    <w:next w:val="Body3"/>
    <w:link w:val="Heading3Char"/>
    <w:uiPriority w:val="4"/>
    <w:qFormat/>
    <w:rsid w:val="00002F65"/>
    <w:pPr>
      <w:keepNext/>
      <w:ind w:left="1418" w:hanging="709"/>
    </w:pPr>
    <w:rPr>
      <w:b/>
    </w:rPr>
  </w:style>
  <w:style w:type="paragraph" w:styleId="Heading4">
    <w:name w:val="heading 4"/>
    <w:basedOn w:val="Level4"/>
    <w:next w:val="Body4"/>
    <w:link w:val="Heading4Char"/>
    <w:uiPriority w:val="5"/>
    <w:semiHidden/>
    <w:qFormat/>
    <w:rsid w:val="00002F65"/>
    <w:pPr>
      <w:keepNext/>
      <w:numPr>
        <w:numId w:val="2"/>
      </w:numPr>
      <w:ind w:left="2127"/>
    </w:pPr>
    <w:rPr>
      <w:b/>
    </w:rPr>
  </w:style>
  <w:style w:type="paragraph" w:styleId="Heading5">
    <w:name w:val="heading 5"/>
    <w:basedOn w:val="Normal"/>
    <w:next w:val="Normal"/>
    <w:link w:val="Heading5Char"/>
    <w:uiPriority w:val="5"/>
    <w:semiHidden/>
    <w:qFormat/>
    <w:pPr>
      <w:spacing w:before="240" w:after="60"/>
      <w:outlineLvl w:val="4"/>
    </w:pPr>
    <w:rPr>
      <w:sz w:val="22"/>
    </w:rPr>
  </w:style>
  <w:style w:type="paragraph" w:styleId="Heading6">
    <w:name w:val="heading 6"/>
    <w:basedOn w:val="Normal"/>
    <w:next w:val="Normal"/>
    <w:uiPriority w:val="16"/>
    <w:semiHidden/>
    <w:qFormat/>
    <w:pPr>
      <w:spacing w:before="240" w:after="60"/>
      <w:outlineLvl w:val="5"/>
    </w:pPr>
    <w:rPr>
      <w:rFonts w:ascii="Times New Roman" w:hAnsi="Times New Roman"/>
      <w:i/>
      <w:sz w:val="22"/>
    </w:rPr>
  </w:style>
  <w:style w:type="paragraph" w:styleId="Heading7">
    <w:name w:val="heading 7"/>
    <w:basedOn w:val="Normal"/>
    <w:next w:val="Normal"/>
    <w:uiPriority w:val="16"/>
    <w:semiHidden/>
    <w:qFormat/>
    <w:pPr>
      <w:spacing w:before="240" w:after="60"/>
      <w:outlineLvl w:val="6"/>
    </w:pPr>
    <w:rPr>
      <w:sz w:val="20"/>
    </w:rPr>
  </w:style>
  <w:style w:type="paragraph" w:styleId="Heading8">
    <w:name w:val="heading 8"/>
    <w:basedOn w:val="Normal"/>
    <w:next w:val="Normal"/>
    <w:uiPriority w:val="16"/>
    <w:semiHidden/>
    <w:qFormat/>
    <w:pPr>
      <w:spacing w:before="240" w:after="60"/>
      <w:outlineLvl w:val="7"/>
    </w:pPr>
    <w:rPr>
      <w:i/>
      <w:sz w:val="20"/>
    </w:rPr>
  </w:style>
  <w:style w:type="paragraph" w:styleId="Heading9">
    <w:name w:val="heading 9"/>
    <w:basedOn w:val="Normal"/>
    <w:next w:val="Normal"/>
    <w:uiPriority w:val="16"/>
    <w:semiHidden/>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uiPriority w:val="17"/>
    <w:semiHidden/>
    <w:pPr>
      <w:spacing w:after="210"/>
    </w:pPr>
  </w:style>
  <w:style w:type="paragraph" w:customStyle="1" w:styleId="Body1">
    <w:name w:val="Body 1"/>
    <w:basedOn w:val="Body"/>
    <w:link w:val="Body1Char"/>
    <w:qFormat/>
  </w:style>
  <w:style w:type="paragraph" w:customStyle="1" w:styleId="Body2">
    <w:name w:val="Body 2"/>
    <w:basedOn w:val="Body1"/>
    <w:link w:val="Body2Char"/>
    <w:qFormat/>
    <w:pPr>
      <w:ind w:left="709"/>
    </w:pPr>
  </w:style>
  <w:style w:type="paragraph" w:customStyle="1" w:styleId="Body3">
    <w:name w:val="Body 3"/>
    <w:basedOn w:val="Body2"/>
    <w:link w:val="Body3Char"/>
    <w:qFormat/>
    <w:pPr>
      <w:ind w:left="1418"/>
    </w:pPr>
  </w:style>
  <w:style w:type="paragraph" w:customStyle="1" w:styleId="Body4">
    <w:name w:val="Body 4"/>
    <w:basedOn w:val="Body3"/>
    <w:link w:val="Body4Char"/>
    <w:qFormat/>
    <w:pPr>
      <w:ind w:left="2126"/>
    </w:pPr>
  </w:style>
  <w:style w:type="paragraph" w:customStyle="1" w:styleId="Body5">
    <w:name w:val="Body 5"/>
    <w:basedOn w:val="Body4"/>
    <w:link w:val="Body5Char"/>
    <w:qFormat/>
    <w:pPr>
      <w:ind w:left="2835"/>
    </w:pPr>
  </w:style>
  <w:style w:type="character" w:customStyle="1" w:styleId="BoldText">
    <w:name w:val="BoldText"/>
    <w:basedOn w:val="DefaultParagraphFont"/>
    <w:uiPriority w:val="15"/>
    <w:qFormat/>
    <w:rPr>
      <w:b/>
    </w:rPr>
  </w:style>
  <w:style w:type="paragraph" w:styleId="Footer">
    <w:name w:val="footer"/>
    <w:basedOn w:val="Normal"/>
    <w:link w:val="FooterChar"/>
    <w:uiPriority w:val="13"/>
    <w:unhideWhenUsed/>
    <w:pPr>
      <w:tabs>
        <w:tab w:val="center" w:pos="4536"/>
        <w:tab w:val="right" w:pos="9072"/>
      </w:tabs>
      <w:jc w:val="left"/>
    </w:pPr>
    <w:rPr>
      <w:sz w:val="16"/>
    </w:rPr>
  </w:style>
  <w:style w:type="character" w:styleId="FootnoteReference">
    <w:name w:val="footnote reference"/>
    <w:basedOn w:val="DefaultParagraphFont"/>
    <w:uiPriority w:val="17"/>
    <w:unhideWhenUsed/>
    <w:rPr>
      <w:vertAlign w:val="superscript"/>
    </w:rPr>
  </w:style>
  <w:style w:type="paragraph" w:styleId="FootnoteText">
    <w:name w:val="footnote text"/>
    <w:basedOn w:val="Normal"/>
    <w:uiPriority w:val="17"/>
    <w:unhideWhenUsed/>
    <w:pPr>
      <w:tabs>
        <w:tab w:val="left" w:pos="720"/>
      </w:tabs>
      <w:ind w:left="720" w:hanging="720"/>
    </w:pPr>
    <w:rPr>
      <w:sz w:val="16"/>
    </w:rPr>
  </w:style>
  <w:style w:type="paragraph" w:styleId="Header">
    <w:name w:val="header"/>
    <w:basedOn w:val="Normal"/>
    <w:link w:val="HeaderChar"/>
    <w:uiPriority w:val="13"/>
    <w:unhideWhenUsed/>
    <w:pPr>
      <w:tabs>
        <w:tab w:val="center" w:pos="4536"/>
        <w:tab w:val="right" w:pos="9072"/>
      </w:tabs>
    </w:pPr>
  </w:style>
  <w:style w:type="character" w:customStyle="1" w:styleId="Heading1Text">
    <w:name w:val="Heading 1 Text"/>
    <w:basedOn w:val="BoldText"/>
    <w:uiPriority w:val="14"/>
    <w:qFormat/>
    <w:rPr>
      <w:b/>
      <w:smallCaps/>
    </w:rPr>
  </w:style>
  <w:style w:type="character" w:customStyle="1" w:styleId="Heading2Text">
    <w:name w:val="Heading 2 Text"/>
    <w:basedOn w:val="BoldText"/>
    <w:uiPriority w:val="14"/>
    <w:semiHidden/>
    <w:rPr>
      <w:b/>
    </w:rPr>
  </w:style>
  <w:style w:type="character" w:customStyle="1" w:styleId="Heading3Text">
    <w:name w:val="Heading 3 Text"/>
    <w:basedOn w:val="Heading2Text"/>
    <w:uiPriority w:val="14"/>
    <w:semiHidden/>
    <w:rPr>
      <w:b/>
    </w:rPr>
  </w:style>
  <w:style w:type="character" w:customStyle="1" w:styleId="Heading4Text">
    <w:name w:val="Heading 4 Text"/>
    <w:basedOn w:val="Heading3Text"/>
    <w:uiPriority w:val="14"/>
    <w:semiHidden/>
    <w:rPr>
      <w:b/>
    </w:rPr>
  </w:style>
  <w:style w:type="paragraph" w:customStyle="1" w:styleId="Level1">
    <w:name w:val="Level 1"/>
    <w:basedOn w:val="Body1"/>
    <w:next w:val="Body2"/>
    <w:link w:val="Level1Char"/>
    <w:uiPriority w:val="6"/>
    <w:qFormat/>
    <w:pPr>
      <w:numPr>
        <w:numId w:val="1"/>
      </w:numPr>
      <w:outlineLvl w:val="0"/>
    </w:pPr>
  </w:style>
  <w:style w:type="paragraph" w:customStyle="1" w:styleId="Level2">
    <w:name w:val="Level 2"/>
    <w:basedOn w:val="Body2"/>
    <w:next w:val="Body2"/>
    <w:link w:val="Level2Char"/>
    <w:uiPriority w:val="6"/>
    <w:qFormat/>
    <w:pPr>
      <w:numPr>
        <w:ilvl w:val="1"/>
        <w:numId w:val="1"/>
      </w:numPr>
      <w:outlineLvl w:val="1"/>
    </w:pPr>
  </w:style>
  <w:style w:type="paragraph" w:customStyle="1" w:styleId="Level3">
    <w:name w:val="Level 3"/>
    <w:basedOn w:val="Body3"/>
    <w:next w:val="Body3"/>
    <w:link w:val="Level3Char"/>
    <w:uiPriority w:val="6"/>
    <w:qFormat/>
    <w:pPr>
      <w:numPr>
        <w:ilvl w:val="2"/>
        <w:numId w:val="1"/>
      </w:numPr>
      <w:outlineLvl w:val="2"/>
    </w:pPr>
  </w:style>
  <w:style w:type="paragraph" w:customStyle="1" w:styleId="Level4">
    <w:name w:val="Level 4"/>
    <w:basedOn w:val="Body4"/>
    <w:next w:val="Body4"/>
    <w:link w:val="Level4Char"/>
    <w:uiPriority w:val="6"/>
    <w:qFormat/>
    <w:pPr>
      <w:numPr>
        <w:ilvl w:val="3"/>
        <w:numId w:val="1"/>
      </w:numPr>
      <w:outlineLvl w:val="3"/>
    </w:pPr>
  </w:style>
  <w:style w:type="paragraph" w:customStyle="1" w:styleId="Level5">
    <w:name w:val="Level 5"/>
    <w:basedOn w:val="Body5"/>
    <w:next w:val="Body5"/>
    <w:link w:val="Level5Char"/>
    <w:uiPriority w:val="6"/>
    <w:qFormat/>
    <w:pPr>
      <w:numPr>
        <w:ilvl w:val="4"/>
        <w:numId w:val="1"/>
      </w:numPr>
      <w:outlineLvl w:val="4"/>
    </w:pPr>
  </w:style>
  <w:style w:type="paragraph" w:styleId="TOC1">
    <w:name w:val="toc 1"/>
    <w:basedOn w:val="Body"/>
    <w:next w:val="Normal"/>
    <w:uiPriority w:val="39"/>
    <w:semiHidden/>
    <w:rsid w:val="009E5624"/>
    <w:pPr>
      <w:tabs>
        <w:tab w:val="left" w:pos="709"/>
        <w:tab w:val="right" w:pos="9072"/>
      </w:tabs>
      <w:spacing w:after="120"/>
      <w:ind w:left="709" w:hanging="709"/>
      <w:jc w:val="left"/>
    </w:pPr>
    <w:rPr>
      <w:b/>
      <w:smallCaps/>
    </w:rPr>
  </w:style>
  <w:style w:type="paragraph" w:styleId="TOC2">
    <w:name w:val="toc 2"/>
    <w:basedOn w:val="Body1"/>
    <w:semiHidden/>
    <w:rsid w:val="000A6825"/>
    <w:pPr>
      <w:tabs>
        <w:tab w:val="left" w:pos="706"/>
        <w:tab w:val="left" w:pos="1418"/>
        <w:tab w:val="right" w:pos="9072"/>
      </w:tabs>
      <w:ind w:left="709"/>
    </w:pPr>
    <w:rPr>
      <w:b/>
    </w:rPr>
  </w:style>
  <w:style w:type="paragraph" w:styleId="TOC3">
    <w:name w:val="toc 3"/>
    <w:basedOn w:val="TOC2"/>
    <w:next w:val="Normal"/>
    <w:semiHidden/>
    <w:rsid w:val="00CE2D50"/>
    <w:pPr>
      <w:ind w:left="1418"/>
    </w:pPr>
  </w:style>
  <w:style w:type="paragraph" w:styleId="TOC4">
    <w:name w:val="toc 4"/>
    <w:basedOn w:val="Normal"/>
    <w:next w:val="Normal"/>
    <w:uiPriority w:val="39"/>
    <w:semiHidden/>
    <w:rsid w:val="008C77D5"/>
    <w:pPr>
      <w:numPr>
        <w:numId w:val="16"/>
      </w:numPr>
      <w:tabs>
        <w:tab w:val="left" w:pos="0"/>
        <w:tab w:val="left" w:pos="709"/>
        <w:tab w:val="right" w:pos="9072"/>
      </w:tabs>
      <w:spacing w:after="120"/>
      <w:ind w:left="709" w:hanging="709"/>
      <w:jc w:val="left"/>
    </w:pPr>
    <w:rPr>
      <w:b/>
      <w:smallCaps/>
    </w:rPr>
  </w:style>
  <w:style w:type="paragraph" w:styleId="BlockText">
    <w:name w:val="Block Text"/>
    <w:basedOn w:val="Normal"/>
    <w:uiPriority w:val="17"/>
    <w:semiHidden/>
    <w:pPr>
      <w:spacing w:after="120"/>
      <w:ind w:left="1440" w:right="1440"/>
    </w:pPr>
  </w:style>
  <w:style w:type="paragraph" w:styleId="BodyText">
    <w:name w:val="Body Text"/>
    <w:basedOn w:val="Normal"/>
    <w:uiPriority w:val="17"/>
    <w:semiHidden/>
    <w:pPr>
      <w:spacing w:after="120"/>
    </w:pPr>
  </w:style>
  <w:style w:type="character" w:customStyle="1" w:styleId="BoldItalicText">
    <w:name w:val="BoldItalicText"/>
    <w:basedOn w:val="DefaultParagraphFont"/>
    <w:uiPriority w:val="17"/>
    <w:semiHidden/>
    <w:rPr>
      <w:b/>
      <w:i/>
    </w:rPr>
  </w:style>
  <w:style w:type="character" w:customStyle="1" w:styleId="ItalicText">
    <w:name w:val="ItalicText"/>
    <w:basedOn w:val="DefaultParagraphFont"/>
    <w:uiPriority w:val="15"/>
    <w:qFormat/>
    <w:rPr>
      <w:i/>
    </w:rPr>
  </w:style>
  <w:style w:type="character" w:customStyle="1" w:styleId="BoldUnderlinedText">
    <w:name w:val="BoldUnderlinedText"/>
    <w:basedOn w:val="DefaultParagraphFont"/>
    <w:uiPriority w:val="17"/>
    <w:semiHidden/>
    <w:rPr>
      <w:b/>
      <w:u w:val="single"/>
    </w:rPr>
  </w:style>
  <w:style w:type="character" w:customStyle="1" w:styleId="UnderlinedText">
    <w:name w:val="UnderlinedText"/>
    <w:basedOn w:val="DefaultParagraphFont"/>
    <w:uiPriority w:val="15"/>
    <w:rPr>
      <w:u w:val="single"/>
    </w:rPr>
  </w:style>
  <w:style w:type="paragraph" w:styleId="BodyText2">
    <w:name w:val="Body Text 2"/>
    <w:basedOn w:val="Normal"/>
    <w:uiPriority w:val="17"/>
    <w:semiHidden/>
    <w:pPr>
      <w:spacing w:after="120" w:line="480" w:lineRule="auto"/>
    </w:pPr>
  </w:style>
  <w:style w:type="paragraph" w:styleId="BodyText3">
    <w:name w:val="Body Text 3"/>
    <w:basedOn w:val="Normal"/>
    <w:uiPriority w:val="17"/>
    <w:semiHidden/>
    <w:pPr>
      <w:spacing w:after="120"/>
    </w:pPr>
    <w:rPr>
      <w:sz w:val="16"/>
    </w:rPr>
  </w:style>
  <w:style w:type="paragraph" w:styleId="BodyTextFirstIndent">
    <w:name w:val="Body Text First Indent"/>
    <w:basedOn w:val="BodyText"/>
    <w:uiPriority w:val="17"/>
    <w:semiHidden/>
    <w:pPr>
      <w:ind w:firstLine="210"/>
    </w:pPr>
  </w:style>
  <w:style w:type="paragraph" w:styleId="BodyTextIndent">
    <w:name w:val="Body Text Indent"/>
    <w:basedOn w:val="Normal"/>
    <w:uiPriority w:val="17"/>
    <w:semiHidden/>
    <w:pPr>
      <w:spacing w:after="120"/>
      <w:ind w:left="283"/>
    </w:pPr>
  </w:style>
  <w:style w:type="paragraph" w:styleId="BodyTextFirstIndent2">
    <w:name w:val="Body Text First Indent 2"/>
    <w:basedOn w:val="BodyTextIndent"/>
    <w:uiPriority w:val="17"/>
    <w:semiHidden/>
    <w:pPr>
      <w:ind w:firstLine="210"/>
    </w:pPr>
  </w:style>
  <w:style w:type="paragraph" w:styleId="BodyTextIndent2">
    <w:name w:val="Body Text Indent 2"/>
    <w:basedOn w:val="Normal"/>
    <w:uiPriority w:val="17"/>
    <w:semiHidden/>
    <w:pPr>
      <w:spacing w:after="120" w:line="480" w:lineRule="auto"/>
      <w:ind w:left="283"/>
    </w:pPr>
  </w:style>
  <w:style w:type="paragraph" w:styleId="BodyTextIndent3">
    <w:name w:val="Body Text Indent 3"/>
    <w:basedOn w:val="Normal"/>
    <w:uiPriority w:val="17"/>
    <w:semiHidden/>
    <w:pPr>
      <w:spacing w:after="120"/>
      <w:ind w:left="283"/>
    </w:pPr>
    <w:rPr>
      <w:sz w:val="16"/>
    </w:rPr>
  </w:style>
  <w:style w:type="paragraph" w:styleId="Caption">
    <w:name w:val="caption"/>
    <w:basedOn w:val="Normal"/>
    <w:next w:val="Normal"/>
    <w:uiPriority w:val="17"/>
    <w:unhideWhenUsed/>
    <w:pPr>
      <w:spacing w:before="120" w:after="120"/>
    </w:pPr>
    <w:rPr>
      <w:b/>
    </w:rPr>
  </w:style>
  <w:style w:type="paragraph" w:styleId="Closing">
    <w:name w:val="Closing"/>
    <w:basedOn w:val="Normal"/>
    <w:uiPriority w:val="17"/>
    <w:semiHidden/>
    <w:pPr>
      <w:ind w:left="4252"/>
    </w:pPr>
  </w:style>
  <w:style w:type="character" w:styleId="CommentReference">
    <w:name w:val="annotation reference"/>
    <w:basedOn w:val="DefaultParagraphFont"/>
    <w:uiPriority w:val="17"/>
    <w:semiHidden/>
    <w:rPr>
      <w:sz w:val="16"/>
    </w:rPr>
  </w:style>
  <w:style w:type="paragraph" w:styleId="CommentText">
    <w:name w:val="annotation text"/>
    <w:basedOn w:val="Normal"/>
    <w:link w:val="CommentTextChar"/>
    <w:uiPriority w:val="17"/>
    <w:semiHidden/>
    <w:rPr>
      <w:sz w:val="20"/>
    </w:rPr>
  </w:style>
  <w:style w:type="paragraph" w:styleId="Date">
    <w:name w:val="Date"/>
    <w:basedOn w:val="Normal"/>
    <w:next w:val="Normal"/>
    <w:uiPriority w:val="17"/>
    <w:semiHidden/>
  </w:style>
  <w:style w:type="paragraph" w:styleId="DocumentMap">
    <w:name w:val="Document Map"/>
    <w:basedOn w:val="Normal"/>
    <w:uiPriority w:val="17"/>
    <w:semiHidden/>
    <w:pPr>
      <w:shd w:val="clear" w:color="auto" w:fill="000080"/>
    </w:pPr>
    <w:rPr>
      <w:rFonts w:ascii="Tahoma" w:hAnsi="Tahoma"/>
    </w:rPr>
  </w:style>
  <w:style w:type="character" w:styleId="Emphasis">
    <w:name w:val="Emphasis"/>
    <w:basedOn w:val="DefaultParagraphFont"/>
    <w:uiPriority w:val="29"/>
    <w:semiHidden/>
    <w:rsid w:val="00E45680"/>
    <w:rPr>
      <w:b/>
      <w:i w:val="0"/>
    </w:rPr>
  </w:style>
  <w:style w:type="character" w:styleId="EndnoteReference">
    <w:name w:val="endnote reference"/>
    <w:basedOn w:val="DefaultParagraphFont"/>
    <w:uiPriority w:val="17"/>
    <w:semiHidden/>
    <w:rPr>
      <w:vertAlign w:val="superscript"/>
    </w:rPr>
  </w:style>
  <w:style w:type="paragraph" w:styleId="EndnoteText">
    <w:name w:val="endnote text"/>
    <w:basedOn w:val="Normal"/>
    <w:uiPriority w:val="17"/>
    <w:semiHidden/>
    <w:rPr>
      <w:sz w:val="20"/>
    </w:rPr>
  </w:style>
  <w:style w:type="paragraph" w:styleId="EnvelopeAddress">
    <w:name w:val="envelope address"/>
    <w:basedOn w:val="Normal"/>
    <w:uiPriority w:val="17"/>
    <w:semiHidden/>
    <w:pPr>
      <w:framePr w:w="7920" w:h="1980" w:hRule="exact" w:hSpace="180" w:wrap="auto" w:hAnchor="page" w:xAlign="center" w:yAlign="bottom"/>
      <w:ind w:left="2880"/>
    </w:pPr>
    <w:rPr>
      <w:sz w:val="24"/>
    </w:rPr>
  </w:style>
  <w:style w:type="paragraph" w:styleId="EnvelopeReturn">
    <w:name w:val="envelope return"/>
    <w:basedOn w:val="Normal"/>
    <w:uiPriority w:val="17"/>
    <w:semiHidden/>
    <w:rPr>
      <w:sz w:val="20"/>
    </w:rPr>
  </w:style>
  <w:style w:type="character" w:styleId="FollowedHyperlink">
    <w:name w:val="FollowedHyperlink"/>
    <w:basedOn w:val="DefaultParagraphFont"/>
    <w:uiPriority w:val="17"/>
    <w:unhideWhenUsed/>
    <w:rPr>
      <w:color w:val="800080"/>
      <w:u w:val="single"/>
    </w:rPr>
  </w:style>
  <w:style w:type="character" w:styleId="Hyperlink">
    <w:name w:val="Hyperlink"/>
    <w:basedOn w:val="DefaultParagraphFont"/>
    <w:uiPriority w:val="99"/>
    <w:rPr>
      <w:color w:val="0000FF"/>
      <w:u w:val="single"/>
    </w:rPr>
  </w:style>
  <w:style w:type="paragraph" w:styleId="Index1">
    <w:name w:val="index 1"/>
    <w:basedOn w:val="Normal"/>
    <w:next w:val="Normal"/>
    <w:autoRedefine/>
    <w:uiPriority w:val="17"/>
    <w:semiHidden/>
    <w:pPr>
      <w:ind w:left="210" w:hanging="210"/>
    </w:pPr>
  </w:style>
  <w:style w:type="paragraph" w:styleId="Index2">
    <w:name w:val="index 2"/>
    <w:basedOn w:val="Normal"/>
    <w:next w:val="Normal"/>
    <w:autoRedefine/>
    <w:uiPriority w:val="17"/>
    <w:semiHidden/>
    <w:pPr>
      <w:ind w:left="420" w:hanging="210"/>
    </w:pPr>
  </w:style>
  <w:style w:type="paragraph" w:styleId="Index3">
    <w:name w:val="index 3"/>
    <w:basedOn w:val="Normal"/>
    <w:next w:val="Normal"/>
    <w:autoRedefine/>
    <w:uiPriority w:val="17"/>
    <w:semiHidden/>
    <w:pPr>
      <w:ind w:left="630" w:hanging="210"/>
    </w:pPr>
  </w:style>
  <w:style w:type="paragraph" w:styleId="Index4">
    <w:name w:val="index 4"/>
    <w:basedOn w:val="Normal"/>
    <w:next w:val="Normal"/>
    <w:autoRedefine/>
    <w:uiPriority w:val="17"/>
    <w:semiHidden/>
    <w:pPr>
      <w:ind w:left="840" w:hanging="210"/>
    </w:pPr>
  </w:style>
  <w:style w:type="paragraph" w:styleId="Index5">
    <w:name w:val="index 5"/>
    <w:basedOn w:val="Normal"/>
    <w:next w:val="Normal"/>
    <w:autoRedefine/>
    <w:uiPriority w:val="17"/>
    <w:semiHidden/>
    <w:pPr>
      <w:ind w:left="1050" w:hanging="210"/>
    </w:pPr>
  </w:style>
  <w:style w:type="paragraph" w:styleId="Index6">
    <w:name w:val="index 6"/>
    <w:basedOn w:val="Normal"/>
    <w:next w:val="Normal"/>
    <w:autoRedefine/>
    <w:uiPriority w:val="17"/>
    <w:semiHidden/>
    <w:pPr>
      <w:ind w:left="1260" w:hanging="210"/>
    </w:pPr>
  </w:style>
  <w:style w:type="paragraph" w:styleId="Index7">
    <w:name w:val="index 7"/>
    <w:basedOn w:val="Normal"/>
    <w:next w:val="Normal"/>
    <w:autoRedefine/>
    <w:uiPriority w:val="17"/>
    <w:semiHidden/>
    <w:pPr>
      <w:ind w:left="1470" w:hanging="210"/>
    </w:pPr>
  </w:style>
  <w:style w:type="paragraph" w:styleId="Index8">
    <w:name w:val="index 8"/>
    <w:basedOn w:val="Normal"/>
    <w:next w:val="Normal"/>
    <w:autoRedefine/>
    <w:uiPriority w:val="17"/>
    <w:semiHidden/>
    <w:pPr>
      <w:ind w:left="1680" w:hanging="210"/>
    </w:pPr>
  </w:style>
  <w:style w:type="paragraph" w:styleId="Index9">
    <w:name w:val="index 9"/>
    <w:basedOn w:val="Normal"/>
    <w:next w:val="Normal"/>
    <w:autoRedefine/>
    <w:uiPriority w:val="17"/>
    <w:semiHidden/>
    <w:pPr>
      <w:ind w:left="1890" w:hanging="210"/>
    </w:pPr>
  </w:style>
  <w:style w:type="paragraph" w:styleId="IndexHeading">
    <w:name w:val="index heading"/>
    <w:basedOn w:val="Normal"/>
    <w:next w:val="Index1"/>
    <w:uiPriority w:val="17"/>
    <w:semiHidden/>
    <w:rPr>
      <w:b/>
    </w:rPr>
  </w:style>
  <w:style w:type="character" w:styleId="LineNumber">
    <w:name w:val="line number"/>
    <w:basedOn w:val="DefaultParagraphFont"/>
    <w:uiPriority w:val="17"/>
    <w:semiHidden/>
  </w:style>
  <w:style w:type="paragraph" w:styleId="MacroText">
    <w:name w:val="macro"/>
    <w:uiPriority w:val="17"/>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kern w:val="28"/>
      <w:lang w:eastAsia="zh-CN"/>
    </w:rPr>
  </w:style>
  <w:style w:type="paragraph" w:styleId="MessageHeader">
    <w:name w:val="Message Header"/>
    <w:basedOn w:val="Normal"/>
    <w:uiPriority w:val="17"/>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Indent">
    <w:name w:val="Normal Indent"/>
    <w:basedOn w:val="Normal"/>
    <w:uiPriority w:val="29"/>
    <w:pPr>
      <w:ind w:left="720"/>
    </w:pPr>
  </w:style>
  <w:style w:type="paragraph" w:styleId="NoteHeading">
    <w:name w:val="Note Heading"/>
    <w:basedOn w:val="Normal"/>
    <w:next w:val="Normal"/>
    <w:uiPriority w:val="17"/>
    <w:semiHidden/>
  </w:style>
  <w:style w:type="character" w:styleId="PageNumber">
    <w:name w:val="page number"/>
    <w:basedOn w:val="DefaultParagraphFont"/>
    <w:uiPriority w:val="17"/>
    <w:semiHidden/>
  </w:style>
  <w:style w:type="paragraph" w:styleId="PlainText">
    <w:name w:val="Plain Text"/>
    <w:basedOn w:val="Normal"/>
    <w:uiPriority w:val="17"/>
    <w:semiHidden/>
    <w:rPr>
      <w:rFonts w:ascii="Courier New" w:hAnsi="Courier New"/>
      <w:sz w:val="20"/>
    </w:rPr>
  </w:style>
  <w:style w:type="paragraph" w:styleId="Salutation">
    <w:name w:val="Salutation"/>
    <w:basedOn w:val="Normal"/>
    <w:next w:val="Normal"/>
    <w:uiPriority w:val="17"/>
    <w:semiHidden/>
  </w:style>
  <w:style w:type="paragraph" w:styleId="Signature">
    <w:name w:val="Signature"/>
    <w:basedOn w:val="Normal"/>
    <w:uiPriority w:val="17"/>
    <w:semiHidden/>
    <w:pPr>
      <w:ind w:left="4252"/>
    </w:pPr>
  </w:style>
  <w:style w:type="paragraph" w:customStyle="1" w:styleId="CentredSubheading">
    <w:name w:val="Centred Subheading"/>
    <w:basedOn w:val="Centred"/>
    <w:next w:val="Body1"/>
    <w:uiPriority w:val="13"/>
    <w:qFormat/>
    <w:rsid w:val="006E1EA1"/>
    <w:rPr>
      <w:b/>
    </w:rPr>
  </w:style>
  <w:style w:type="paragraph" w:styleId="TableofAuthorities">
    <w:name w:val="table of authorities"/>
    <w:basedOn w:val="Normal"/>
    <w:next w:val="Normal"/>
    <w:uiPriority w:val="17"/>
    <w:semiHidden/>
    <w:pPr>
      <w:ind w:left="210" w:hanging="210"/>
    </w:pPr>
  </w:style>
  <w:style w:type="paragraph" w:styleId="TableofFigures">
    <w:name w:val="table of figures"/>
    <w:basedOn w:val="Normal"/>
    <w:next w:val="Normal"/>
    <w:uiPriority w:val="17"/>
    <w:semiHidden/>
    <w:pPr>
      <w:ind w:left="420" w:hanging="420"/>
    </w:pPr>
  </w:style>
  <w:style w:type="paragraph" w:styleId="TOAHeading">
    <w:name w:val="toa heading"/>
    <w:basedOn w:val="Normal"/>
    <w:next w:val="Normal"/>
    <w:uiPriority w:val="49"/>
    <w:semiHidden/>
    <w:pPr>
      <w:spacing w:before="120"/>
    </w:pPr>
    <w:rPr>
      <w:b/>
      <w:sz w:val="24"/>
    </w:rPr>
  </w:style>
  <w:style w:type="paragraph" w:styleId="TOC5">
    <w:name w:val="toc 5"/>
    <w:basedOn w:val="Body1"/>
    <w:next w:val="Body1"/>
    <w:semiHidden/>
    <w:rsid w:val="00DB4683"/>
    <w:pPr>
      <w:spacing w:after="120"/>
      <w:ind w:left="709"/>
      <w:contextualSpacing/>
      <w:jc w:val="left"/>
    </w:pPr>
  </w:style>
  <w:style w:type="paragraph" w:styleId="TOC6">
    <w:name w:val="toc 6"/>
    <w:basedOn w:val="Normal"/>
    <w:next w:val="Normal"/>
    <w:autoRedefine/>
    <w:uiPriority w:val="49"/>
    <w:semiHidden/>
    <w:pPr>
      <w:ind w:left="1050"/>
    </w:pPr>
  </w:style>
  <w:style w:type="paragraph" w:styleId="TOC7">
    <w:name w:val="toc 7"/>
    <w:basedOn w:val="Normal"/>
    <w:next w:val="Normal"/>
    <w:autoRedefine/>
    <w:uiPriority w:val="49"/>
    <w:semiHidden/>
    <w:pPr>
      <w:ind w:left="1260"/>
    </w:pPr>
  </w:style>
  <w:style w:type="paragraph" w:styleId="TOC8">
    <w:name w:val="toc 8"/>
    <w:basedOn w:val="Normal"/>
    <w:next w:val="Normal"/>
    <w:autoRedefine/>
    <w:uiPriority w:val="49"/>
    <w:semiHidden/>
    <w:pPr>
      <w:ind w:left="1470"/>
    </w:pPr>
  </w:style>
  <w:style w:type="paragraph" w:styleId="TOC9">
    <w:name w:val="toc 9"/>
    <w:basedOn w:val="Normal"/>
    <w:next w:val="Normal"/>
    <w:autoRedefine/>
    <w:uiPriority w:val="49"/>
    <w:semiHidden/>
    <w:pPr>
      <w:ind w:left="1680"/>
    </w:pPr>
  </w:style>
  <w:style w:type="paragraph" w:customStyle="1" w:styleId="Centred">
    <w:name w:val="Centred"/>
    <w:basedOn w:val="Body"/>
    <w:next w:val="Body1"/>
    <w:uiPriority w:val="13"/>
    <w:pPr>
      <w:keepNext/>
      <w:jc w:val="center"/>
    </w:pPr>
  </w:style>
  <w:style w:type="paragraph" w:customStyle="1" w:styleId="Parties">
    <w:name w:val="Parties"/>
    <w:basedOn w:val="Body"/>
    <w:next w:val="Body2"/>
    <w:uiPriority w:val="9"/>
    <w:qFormat/>
    <w:pPr>
      <w:numPr>
        <w:numId w:val="3"/>
      </w:numPr>
    </w:pPr>
  </w:style>
  <w:style w:type="paragraph" w:customStyle="1" w:styleId="Recitals">
    <w:name w:val="Recitals"/>
    <w:basedOn w:val="Body"/>
    <w:next w:val="Body2"/>
    <w:uiPriority w:val="9"/>
    <w:qFormat/>
    <w:pPr>
      <w:numPr>
        <w:numId w:val="4"/>
      </w:numPr>
    </w:pPr>
  </w:style>
  <w:style w:type="paragraph" w:styleId="TOCHeading">
    <w:name w:val="TOC Heading"/>
    <w:basedOn w:val="Heading1"/>
    <w:next w:val="Normal"/>
    <w:uiPriority w:val="49"/>
    <w:semiHidden/>
    <w:rsid w:val="00AE6229"/>
    <w:pPr>
      <w:keepLines/>
      <w:tabs>
        <w:tab w:val="right" w:pos="9072"/>
      </w:tabs>
      <w:spacing w:after="240"/>
      <w:jc w:val="center"/>
      <w:outlineLvl w:val="9"/>
    </w:pPr>
    <w:rPr>
      <w:rFonts w:eastAsia="Times New Roman"/>
      <w:bCs/>
      <w:szCs w:val="28"/>
    </w:rPr>
  </w:style>
  <w:style w:type="character" w:customStyle="1" w:styleId="CommentTextChar">
    <w:name w:val="Comment Text Char"/>
    <w:basedOn w:val="DefaultParagraphFont"/>
    <w:link w:val="CommentText"/>
    <w:uiPriority w:val="17"/>
    <w:semiHidden/>
    <w:rsid w:val="00ED08A9"/>
    <w:rPr>
      <w:sz w:val="20"/>
    </w:rPr>
  </w:style>
  <w:style w:type="paragraph" w:customStyle="1" w:styleId="Address">
    <w:name w:val="Address"/>
    <w:basedOn w:val="Normal"/>
    <w:uiPriority w:val="17"/>
    <w:rsid w:val="00671861"/>
    <w:pPr>
      <w:jc w:val="center"/>
    </w:pPr>
    <w:rPr>
      <w:sz w:val="16"/>
      <w:szCs w:val="16"/>
      <w:lang w:eastAsia="en-US"/>
    </w:rPr>
  </w:style>
  <w:style w:type="paragraph" w:customStyle="1" w:styleId="NormalCentred">
    <w:name w:val="Normal Centred"/>
    <w:basedOn w:val="Normal"/>
    <w:uiPriority w:val="9"/>
    <w:rsid w:val="00671861"/>
    <w:pPr>
      <w:jc w:val="center"/>
    </w:pPr>
    <w:rPr>
      <w:szCs w:val="24"/>
      <w:lang w:eastAsia="en-US"/>
    </w:rPr>
  </w:style>
  <w:style w:type="character" w:customStyle="1" w:styleId="SmallCaps">
    <w:name w:val="SmallCaps"/>
    <w:basedOn w:val="DefaultParagraphFont"/>
    <w:uiPriority w:val="17"/>
    <w:semiHidden/>
    <w:rsid w:val="00671861"/>
    <w:rPr>
      <w:rFonts w:ascii="Arial" w:hAnsi="Arial"/>
      <w:smallCaps/>
      <w:sz w:val="21"/>
    </w:rPr>
  </w:style>
  <w:style w:type="paragraph" w:styleId="BalloonText">
    <w:name w:val="Balloon Text"/>
    <w:basedOn w:val="Normal"/>
    <w:link w:val="BalloonTextChar"/>
    <w:uiPriority w:val="17"/>
    <w:unhideWhenUsed/>
    <w:rsid w:val="006718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17"/>
    <w:rsid w:val="00ED08A9"/>
    <w:rPr>
      <w:rFonts w:ascii="Tahoma" w:hAnsi="Tahoma" w:cs="Tahoma"/>
      <w:sz w:val="16"/>
      <w:szCs w:val="16"/>
    </w:rPr>
  </w:style>
  <w:style w:type="character" w:customStyle="1" w:styleId="FooterChar">
    <w:name w:val="Footer Char"/>
    <w:basedOn w:val="DefaultParagraphFont"/>
    <w:link w:val="Footer"/>
    <w:uiPriority w:val="13"/>
    <w:rsid w:val="00ED08A9"/>
    <w:rPr>
      <w:sz w:val="16"/>
    </w:rPr>
  </w:style>
  <w:style w:type="character" w:customStyle="1" w:styleId="HeaderChar">
    <w:name w:val="Header Char"/>
    <w:basedOn w:val="DefaultParagraphFont"/>
    <w:link w:val="Header"/>
    <w:uiPriority w:val="13"/>
    <w:rsid w:val="00ED08A9"/>
  </w:style>
  <w:style w:type="character" w:styleId="PlaceholderText">
    <w:name w:val="Placeholder Text"/>
    <w:basedOn w:val="DefaultParagraphFont"/>
    <w:uiPriority w:val="99"/>
    <w:semiHidden/>
    <w:rsid w:val="004B05D7"/>
    <w:rPr>
      <w:color w:val="808080"/>
    </w:rPr>
  </w:style>
  <w:style w:type="paragraph" w:customStyle="1" w:styleId="CentredHeading">
    <w:name w:val="Centred Heading"/>
    <w:basedOn w:val="Body1"/>
    <w:next w:val="Body1"/>
    <w:uiPriority w:val="13"/>
    <w:qFormat/>
    <w:rsid w:val="000A7590"/>
    <w:pPr>
      <w:keepNext/>
      <w:jc w:val="center"/>
    </w:pPr>
    <w:rPr>
      <w:b/>
      <w:smallCaps/>
    </w:rPr>
  </w:style>
  <w:style w:type="paragraph" w:styleId="NormalWeb">
    <w:name w:val="Normal (Web)"/>
    <w:basedOn w:val="Normal"/>
    <w:uiPriority w:val="29"/>
    <w:rsid w:val="00F95754"/>
    <w:rPr>
      <w:szCs w:val="24"/>
    </w:rPr>
  </w:style>
  <w:style w:type="paragraph" w:styleId="Subtitle">
    <w:name w:val="Subtitle"/>
    <w:basedOn w:val="Body"/>
    <w:next w:val="Body1"/>
    <w:link w:val="SubtitleChar"/>
    <w:uiPriority w:val="18"/>
    <w:rsid w:val="00615756"/>
    <w:pPr>
      <w:numPr>
        <w:ilvl w:val="1"/>
      </w:numPr>
    </w:pPr>
    <w:rPr>
      <w:rFonts w:eastAsia="Times New Roman"/>
      <w:b/>
      <w:iCs/>
      <w:spacing w:val="15"/>
      <w:szCs w:val="24"/>
    </w:rPr>
  </w:style>
  <w:style w:type="character" w:customStyle="1" w:styleId="SubtitleChar">
    <w:name w:val="Subtitle Char"/>
    <w:basedOn w:val="DefaultParagraphFont"/>
    <w:link w:val="Subtitle"/>
    <w:uiPriority w:val="18"/>
    <w:rsid w:val="00ED08A9"/>
    <w:rPr>
      <w:rFonts w:ascii="Arial" w:eastAsia="Times New Roman" w:hAnsi="Arial" w:cs="Times New Roman"/>
      <w:b/>
      <w:iCs/>
      <w:spacing w:val="15"/>
      <w:szCs w:val="24"/>
    </w:rPr>
  </w:style>
  <w:style w:type="character" w:styleId="BookTitle">
    <w:name w:val="Book Title"/>
    <w:basedOn w:val="DefaultParagraphFont"/>
    <w:uiPriority w:val="43"/>
    <w:semiHidden/>
    <w:rsid w:val="00D25E01"/>
    <w:rPr>
      <w:b/>
      <w:bCs/>
      <w:smallCaps/>
      <w:spacing w:val="5"/>
    </w:rPr>
  </w:style>
  <w:style w:type="paragraph" w:styleId="Quote">
    <w:name w:val="Quote"/>
    <w:basedOn w:val="Normal"/>
    <w:next w:val="Normal"/>
    <w:link w:val="QuoteChar"/>
    <w:uiPriority w:val="39"/>
    <w:semiHidden/>
    <w:rsid w:val="00D25E01"/>
    <w:rPr>
      <w:i/>
      <w:iCs/>
      <w:color w:val="4D5357" w:themeColor="text1"/>
    </w:rPr>
  </w:style>
  <w:style w:type="character" w:customStyle="1" w:styleId="QuoteChar">
    <w:name w:val="Quote Char"/>
    <w:basedOn w:val="DefaultParagraphFont"/>
    <w:link w:val="Quote"/>
    <w:uiPriority w:val="39"/>
    <w:semiHidden/>
    <w:rsid w:val="00ED08A9"/>
    <w:rPr>
      <w:i/>
      <w:iCs/>
      <w:color w:val="4D5357" w:themeColor="text1"/>
    </w:rPr>
  </w:style>
  <w:style w:type="paragraph" w:styleId="ListParagraph">
    <w:name w:val="List Paragraph"/>
    <w:basedOn w:val="Normal"/>
    <w:uiPriority w:val="44"/>
    <w:rsid w:val="00D25E01"/>
    <w:pPr>
      <w:ind w:left="720"/>
      <w:contextualSpacing/>
    </w:pPr>
  </w:style>
  <w:style w:type="paragraph" w:styleId="Title">
    <w:name w:val="Title"/>
    <w:basedOn w:val="Body"/>
    <w:next w:val="Body1"/>
    <w:link w:val="TitleChar"/>
    <w:uiPriority w:val="18"/>
    <w:rsid w:val="00615756"/>
    <w:rPr>
      <w:rFonts w:eastAsia="Times New Roman"/>
      <w:b/>
      <w:smallCaps/>
      <w:spacing w:val="5"/>
      <w:kern w:val="28"/>
      <w:szCs w:val="52"/>
    </w:rPr>
  </w:style>
  <w:style w:type="character" w:customStyle="1" w:styleId="TitleChar">
    <w:name w:val="Title Char"/>
    <w:basedOn w:val="DefaultParagraphFont"/>
    <w:link w:val="Title"/>
    <w:uiPriority w:val="18"/>
    <w:rsid w:val="00ED08A9"/>
    <w:rPr>
      <w:rFonts w:eastAsia="Times New Roman" w:cs="Times New Roman"/>
      <w:b/>
      <w:smallCaps/>
      <w:spacing w:val="5"/>
      <w:kern w:val="28"/>
      <w:szCs w:val="52"/>
    </w:rPr>
  </w:style>
  <w:style w:type="paragraph" w:styleId="NoSpacing">
    <w:name w:val="No Spacing"/>
    <w:uiPriority w:val="29"/>
    <w:rsid w:val="007F7F66"/>
    <w:pPr>
      <w:spacing w:line="240" w:lineRule="auto"/>
    </w:pPr>
  </w:style>
  <w:style w:type="paragraph" w:customStyle="1" w:styleId="SchTitle">
    <w:name w:val="Sch  Title"/>
    <w:basedOn w:val="SchSubtitle"/>
    <w:next w:val="SchSubtitle"/>
    <w:uiPriority w:val="10"/>
    <w:qFormat/>
    <w:rsid w:val="00BE7F58"/>
    <w:pPr>
      <w:numPr>
        <w:ilvl w:val="0"/>
      </w:numPr>
    </w:pPr>
    <w:rPr>
      <w:smallCaps/>
    </w:rPr>
  </w:style>
  <w:style w:type="paragraph" w:customStyle="1" w:styleId="SchSubtitle">
    <w:name w:val="Sch  Subtitle"/>
    <w:basedOn w:val="Body"/>
    <w:next w:val="Body2"/>
    <w:uiPriority w:val="11"/>
    <w:qFormat/>
    <w:rsid w:val="00BE7F58"/>
    <w:pPr>
      <w:keepNext/>
      <w:numPr>
        <w:ilvl w:val="1"/>
        <w:numId w:val="5"/>
      </w:numPr>
      <w:jc w:val="center"/>
    </w:pPr>
    <w:rPr>
      <w:b/>
    </w:rPr>
  </w:style>
  <w:style w:type="paragraph" w:customStyle="1" w:styleId="SchNumber1">
    <w:name w:val="Sch Number 1"/>
    <w:basedOn w:val="Level1"/>
    <w:next w:val="Body2"/>
    <w:link w:val="SchNumber1Char"/>
    <w:uiPriority w:val="12"/>
    <w:qFormat/>
    <w:rsid w:val="00FC3332"/>
    <w:pPr>
      <w:numPr>
        <w:ilvl w:val="2"/>
        <w:numId w:val="5"/>
      </w:numPr>
    </w:pPr>
  </w:style>
  <w:style w:type="paragraph" w:customStyle="1" w:styleId="SchNumber2">
    <w:name w:val="Sch Number 2"/>
    <w:basedOn w:val="Level2"/>
    <w:next w:val="Body2"/>
    <w:link w:val="SchNumber2Char"/>
    <w:uiPriority w:val="12"/>
    <w:qFormat/>
    <w:rsid w:val="00FC3332"/>
    <w:pPr>
      <w:numPr>
        <w:ilvl w:val="3"/>
        <w:numId w:val="5"/>
      </w:numPr>
    </w:pPr>
  </w:style>
  <w:style w:type="paragraph" w:customStyle="1" w:styleId="SchNumber3">
    <w:name w:val="Sch Number 3"/>
    <w:basedOn w:val="Level3"/>
    <w:next w:val="Body2"/>
    <w:link w:val="SchNumber3Char"/>
    <w:uiPriority w:val="12"/>
    <w:qFormat/>
    <w:rsid w:val="00FC3332"/>
    <w:pPr>
      <w:numPr>
        <w:ilvl w:val="4"/>
        <w:numId w:val="5"/>
      </w:numPr>
    </w:pPr>
  </w:style>
  <w:style w:type="paragraph" w:customStyle="1" w:styleId="SchNumber4">
    <w:name w:val="Sch Number 4"/>
    <w:basedOn w:val="Level4"/>
    <w:next w:val="Body4"/>
    <w:link w:val="SchNumber4Char"/>
    <w:uiPriority w:val="12"/>
    <w:qFormat/>
    <w:rsid w:val="00FC3332"/>
    <w:pPr>
      <w:numPr>
        <w:ilvl w:val="5"/>
        <w:numId w:val="5"/>
      </w:numPr>
    </w:pPr>
  </w:style>
  <w:style w:type="paragraph" w:customStyle="1" w:styleId="SchNumber5">
    <w:name w:val="Sch Number 5"/>
    <w:basedOn w:val="Level5"/>
    <w:next w:val="Body5"/>
    <w:link w:val="SchNumber5Char"/>
    <w:uiPriority w:val="12"/>
    <w:qFormat/>
    <w:rsid w:val="00FC3332"/>
    <w:pPr>
      <w:numPr>
        <w:ilvl w:val="6"/>
        <w:numId w:val="5"/>
      </w:numPr>
    </w:pPr>
  </w:style>
  <w:style w:type="paragraph" w:customStyle="1" w:styleId="SchHeading1">
    <w:name w:val="Sch Heading 1"/>
    <w:basedOn w:val="SchNumber1"/>
    <w:next w:val="Body2"/>
    <w:link w:val="SchHeading1Char"/>
    <w:uiPriority w:val="12"/>
    <w:qFormat/>
    <w:rsid w:val="00FC3332"/>
    <w:rPr>
      <w:b/>
      <w:smallCaps/>
    </w:rPr>
  </w:style>
  <w:style w:type="paragraph" w:customStyle="1" w:styleId="SchHeading2">
    <w:name w:val="Sch Heading 2"/>
    <w:basedOn w:val="SchNumber2"/>
    <w:next w:val="Body2"/>
    <w:link w:val="SchHeading2Char"/>
    <w:uiPriority w:val="12"/>
    <w:qFormat/>
    <w:rsid w:val="00FC3332"/>
    <w:rPr>
      <w:b/>
    </w:rPr>
  </w:style>
  <w:style w:type="paragraph" w:customStyle="1" w:styleId="Heading1Restart">
    <w:name w:val="Heading 1 Restart"/>
    <w:basedOn w:val="Heading1"/>
    <w:next w:val="Body2"/>
    <w:link w:val="Heading1RestartChar"/>
    <w:uiPriority w:val="13"/>
    <w:semiHidden/>
    <w:rsid w:val="000D77B5"/>
    <w:pPr>
      <w:numPr>
        <w:numId w:val="0"/>
      </w:numPr>
      <w:tabs>
        <w:tab w:val="left" w:pos="709"/>
      </w:tabs>
      <w:ind w:left="709" w:hanging="709"/>
    </w:pPr>
  </w:style>
  <w:style w:type="character" w:customStyle="1" w:styleId="Heading1RestartChar">
    <w:name w:val="Heading 1 Restart Char"/>
    <w:link w:val="Heading1Restart"/>
    <w:uiPriority w:val="13"/>
    <w:semiHidden/>
    <w:rsid w:val="00ED08A9"/>
    <w:rPr>
      <w:rFonts w:eastAsia="Arial Unicode MS"/>
      <w:b/>
      <w:smallCaps/>
    </w:rPr>
  </w:style>
  <w:style w:type="paragraph" w:customStyle="1" w:styleId="Heading2Restart">
    <w:name w:val="Heading 2 Restart"/>
    <w:basedOn w:val="Heading2"/>
    <w:next w:val="Body2"/>
    <w:link w:val="Heading2RestartChar"/>
    <w:uiPriority w:val="13"/>
    <w:semiHidden/>
    <w:rsid w:val="000D77B5"/>
    <w:pPr>
      <w:numPr>
        <w:ilvl w:val="0"/>
        <w:numId w:val="0"/>
      </w:numPr>
      <w:tabs>
        <w:tab w:val="left" w:pos="709"/>
      </w:tabs>
      <w:ind w:left="709" w:hanging="709"/>
    </w:pPr>
  </w:style>
  <w:style w:type="paragraph" w:customStyle="1" w:styleId="Heading3Restart">
    <w:name w:val="Heading 3 Restart"/>
    <w:basedOn w:val="Heading3"/>
    <w:next w:val="Body3"/>
    <w:link w:val="Heading3RestartChar"/>
    <w:uiPriority w:val="13"/>
    <w:semiHidden/>
    <w:qFormat/>
    <w:rsid w:val="000D77B5"/>
    <w:pPr>
      <w:numPr>
        <w:ilvl w:val="0"/>
        <w:numId w:val="0"/>
      </w:numPr>
      <w:ind w:left="1418" w:hanging="709"/>
    </w:pPr>
  </w:style>
  <w:style w:type="character" w:customStyle="1" w:styleId="Heading3RestartChar">
    <w:name w:val="Heading 3 Restart Char"/>
    <w:link w:val="Heading3Restart"/>
    <w:uiPriority w:val="13"/>
    <w:semiHidden/>
    <w:rsid w:val="00ED08A9"/>
    <w:rPr>
      <w:rFonts w:eastAsia="Arial Unicode MS"/>
      <w:b/>
    </w:rPr>
  </w:style>
  <w:style w:type="character" w:customStyle="1" w:styleId="BodyChar">
    <w:name w:val="Body Char"/>
    <w:basedOn w:val="DefaultParagraphFont"/>
    <w:link w:val="Body"/>
    <w:uiPriority w:val="17"/>
    <w:semiHidden/>
    <w:rsid w:val="00ED08A9"/>
  </w:style>
  <w:style w:type="character" w:customStyle="1" w:styleId="Body1Char">
    <w:name w:val="Body 1 Char"/>
    <w:basedOn w:val="BodyChar"/>
    <w:link w:val="Body1"/>
    <w:rsid w:val="000D77B5"/>
  </w:style>
  <w:style w:type="character" w:customStyle="1" w:styleId="Body2Char">
    <w:name w:val="Body 2 Char"/>
    <w:basedOn w:val="Body1Char"/>
    <w:link w:val="Body2"/>
    <w:rsid w:val="000D77B5"/>
  </w:style>
  <w:style w:type="character" w:customStyle="1" w:styleId="Level2Char">
    <w:name w:val="Level 2 Char"/>
    <w:basedOn w:val="Body2Char"/>
    <w:link w:val="Level2"/>
    <w:uiPriority w:val="6"/>
    <w:rsid w:val="00ED08A9"/>
  </w:style>
  <w:style w:type="character" w:customStyle="1" w:styleId="Heading2Char">
    <w:name w:val="Heading 2 Char"/>
    <w:basedOn w:val="Level2Char"/>
    <w:link w:val="Heading2"/>
    <w:uiPriority w:val="4"/>
    <w:rsid w:val="00ED08A9"/>
    <w:rPr>
      <w:b/>
    </w:rPr>
  </w:style>
  <w:style w:type="character" w:customStyle="1" w:styleId="Heading2RestartChar">
    <w:name w:val="Heading 2 Restart Char"/>
    <w:basedOn w:val="Heading2Char"/>
    <w:link w:val="Heading2Restart"/>
    <w:uiPriority w:val="13"/>
    <w:semiHidden/>
    <w:rsid w:val="00ED08A9"/>
    <w:rPr>
      <w:rFonts w:eastAsia="Arial Unicode MS"/>
      <w:b/>
    </w:rPr>
  </w:style>
  <w:style w:type="numbering" w:customStyle="1" w:styleId="SchCustomList">
    <w:name w:val="Sch Custom List"/>
    <w:basedOn w:val="NoList"/>
    <w:uiPriority w:val="99"/>
    <w:rsid w:val="00FC3332"/>
    <w:pPr>
      <w:numPr>
        <w:numId w:val="5"/>
      </w:numPr>
    </w:pPr>
  </w:style>
  <w:style w:type="character" w:customStyle="1" w:styleId="Body3Char">
    <w:name w:val="Body 3 Char"/>
    <w:basedOn w:val="Body2Char"/>
    <w:link w:val="Body3"/>
    <w:rsid w:val="00C10D16"/>
  </w:style>
  <w:style w:type="character" w:customStyle="1" w:styleId="Body4Char">
    <w:name w:val="Body 4 Char"/>
    <w:basedOn w:val="Body3Char"/>
    <w:link w:val="Body4"/>
    <w:rsid w:val="00C10D16"/>
  </w:style>
  <w:style w:type="character" w:customStyle="1" w:styleId="Body5Char">
    <w:name w:val="Body 5 Char"/>
    <w:basedOn w:val="Body4Char"/>
    <w:link w:val="Body5"/>
    <w:rsid w:val="00C10D16"/>
  </w:style>
  <w:style w:type="character" w:customStyle="1" w:styleId="Level1Char">
    <w:name w:val="Level 1 Char"/>
    <w:basedOn w:val="Body1Char"/>
    <w:link w:val="Level1"/>
    <w:uiPriority w:val="6"/>
    <w:rsid w:val="00ED08A9"/>
  </w:style>
  <w:style w:type="character" w:customStyle="1" w:styleId="Heading1Char">
    <w:name w:val="Heading 1 Char"/>
    <w:basedOn w:val="Level1Char"/>
    <w:link w:val="Heading1"/>
    <w:uiPriority w:val="4"/>
    <w:rsid w:val="00ED08A9"/>
    <w:rPr>
      <w:b/>
      <w:smallCaps/>
    </w:rPr>
  </w:style>
  <w:style w:type="character" w:customStyle="1" w:styleId="Level3Char">
    <w:name w:val="Level 3 Char"/>
    <w:basedOn w:val="Body3Char"/>
    <w:link w:val="Level3"/>
    <w:uiPriority w:val="6"/>
    <w:rsid w:val="00ED08A9"/>
  </w:style>
  <w:style w:type="character" w:customStyle="1" w:styleId="Heading3Char">
    <w:name w:val="Heading 3 Char"/>
    <w:basedOn w:val="Level3Char"/>
    <w:link w:val="Heading3"/>
    <w:uiPriority w:val="4"/>
    <w:rsid w:val="00ED08A9"/>
    <w:rPr>
      <w:b/>
    </w:rPr>
  </w:style>
  <w:style w:type="character" w:customStyle="1" w:styleId="Level4Char">
    <w:name w:val="Level 4 Char"/>
    <w:basedOn w:val="Body4Char"/>
    <w:link w:val="Level4"/>
    <w:uiPriority w:val="6"/>
    <w:rsid w:val="00ED08A9"/>
  </w:style>
  <w:style w:type="character" w:customStyle="1" w:styleId="Heading4Char">
    <w:name w:val="Heading 4 Char"/>
    <w:basedOn w:val="Level4Char"/>
    <w:link w:val="Heading4"/>
    <w:uiPriority w:val="5"/>
    <w:semiHidden/>
    <w:rsid w:val="00ED08A9"/>
    <w:rPr>
      <w:rFonts w:ascii="Arial" w:hAnsi="Arial"/>
      <w:b/>
    </w:rPr>
  </w:style>
  <w:style w:type="character" w:customStyle="1" w:styleId="Heading5Char">
    <w:name w:val="Heading 5 Char"/>
    <w:basedOn w:val="DefaultParagraphFont"/>
    <w:link w:val="Heading5"/>
    <w:uiPriority w:val="5"/>
    <w:semiHidden/>
    <w:rsid w:val="00ED08A9"/>
    <w:rPr>
      <w:sz w:val="22"/>
    </w:rPr>
  </w:style>
  <w:style w:type="character" w:customStyle="1" w:styleId="Level5Char">
    <w:name w:val="Level 5 Char"/>
    <w:basedOn w:val="Body5Char"/>
    <w:link w:val="Level5"/>
    <w:uiPriority w:val="6"/>
    <w:rsid w:val="00ED08A9"/>
  </w:style>
  <w:style w:type="character" w:customStyle="1" w:styleId="SchNumber1Char">
    <w:name w:val="Sch Number 1 Char"/>
    <w:basedOn w:val="Level1Char"/>
    <w:link w:val="SchNumber1"/>
    <w:uiPriority w:val="12"/>
    <w:rsid w:val="00ED08A9"/>
    <w:rPr>
      <w:rFonts w:eastAsia="Arial Unicode MS"/>
    </w:rPr>
  </w:style>
  <w:style w:type="character" w:customStyle="1" w:styleId="SchHeading1Char">
    <w:name w:val="Sch Heading 1 Char"/>
    <w:basedOn w:val="SchNumber1Char"/>
    <w:link w:val="SchHeading1"/>
    <w:uiPriority w:val="12"/>
    <w:rsid w:val="00ED08A9"/>
    <w:rPr>
      <w:rFonts w:eastAsia="Arial Unicode MS"/>
      <w:b/>
      <w:smallCaps/>
    </w:rPr>
  </w:style>
  <w:style w:type="character" w:customStyle="1" w:styleId="SchNumber2Char">
    <w:name w:val="Sch Number 2 Char"/>
    <w:basedOn w:val="Level2Char"/>
    <w:link w:val="SchNumber2"/>
    <w:uiPriority w:val="12"/>
    <w:rsid w:val="00ED08A9"/>
    <w:rPr>
      <w:rFonts w:eastAsia="Arial Unicode MS"/>
    </w:rPr>
  </w:style>
  <w:style w:type="character" w:customStyle="1" w:styleId="SchHeading2Char">
    <w:name w:val="Sch Heading 2 Char"/>
    <w:basedOn w:val="SchNumber2Char"/>
    <w:link w:val="SchHeading2"/>
    <w:uiPriority w:val="12"/>
    <w:rsid w:val="00ED08A9"/>
    <w:rPr>
      <w:rFonts w:eastAsia="Arial Unicode MS"/>
      <w:b/>
    </w:rPr>
  </w:style>
  <w:style w:type="character" w:customStyle="1" w:styleId="SchNumber3Char">
    <w:name w:val="Sch Number 3 Char"/>
    <w:basedOn w:val="Level3Char"/>
    <w:link w:val="SchNumber3"/>
    <w:uiPriority w:val="12"/>
    <w:rsid w:val="00ED08A9"/>
    <w:rPr>
      <w:rFonts w:eastAsia="Arial Unicode MS"/>
    </w:rPr>
  </w:style>
  <w:style w:type="character" w:customStyle="1" w:styleId="SchNumber4Char">
    <w:name w:val="Sch Number 4 Char"/>
    <w:basedOn w:val="Level4Char"/>
    <w:link w:val="SchNumber4"/>
    <w:uiPriority w:val="12"/>
    <w:rsid w:val="00ED08A9"/>
    <w:rPr>
      <w:rFonts w:eastAsia="Arial Unicode MS"/>
    </w:rPr>
  </w:style>
  <w:style w:type="character" w:customStyle="1" w:styleId="SchNumber5Char">
    <w:name w:val="Sch Number 5 Char"/>
    <w:basedOn w:val="Level5Char"/>
    <w:link w:val="SchNumber5"/>
    <w:uiPriority w:val="12"/>
    <w:rsid w:val="00ED08A9"/>
    <w:rPr>
      <w:rFonts w:eastAsia="Arial Unicode MS"/>
    </w:rPr>
  </w:style>
  <w:style w:type="paragraph" w:customStyle="1" w:styleId="SchHeading3">
    <w:name w:val="Sch Heading 3"/>
    <w:basedOn w:val="SchNumber3"/>
    <w:next w:val="Body3"/>
    <w:link w:val="SchHeading3Char"/>
    <w:uiPriority w:val="12"/>
    <w:qFormat/>
    <w:rsid w:val="0004544B"/>
    <w:rPr>
      <w:b/>
    </w:rPr>
  </w:style>
  <w:style w:type="character" w:customStyle="1" w:styleId="SchHeading3Char">
    <w:name w:val="Sch Heading 3 Char"/>
    <w:basedOn w:val="SchNumber3Char"/>
    <w:link w:val="SchHeading3"/>
    <w:uiPriority w:val="12"/>
    <w:rsid w:val="0004544B"/>
    <w:rPr>
      <w:rFonts w:eastAsia="Arial Unicode MS"/>
      <w:b/>
    </w:rPr>
  </w:style>
  <w:style w:type="paragraph" w:customStyle="1" w:styleId="Parts">
    <w:name w:val="Parts"/>
    <w:basedOn w:val="Body1"/>
    <w:next w:val="Body1"/>
    <w:uiPriority w:val="12"/>
    <w:qFormat/>
    <w:rsid w:val="00563D29"/>
    <w:pPr>
      <w:jc w:val="center"/>
    </w:pPr>
    <w:rPr>
      <w:b/>
    </w:rPr>
  </w:style>
  <w:style w:type="paragraph" w:styleId="List4">
    <w:name w:val="List 4"/>
    <w:basedOn w:val="Normal"/>
    <w:uiPriority w:val="29"/>
    <w:rsid w:val="00F95754"/>
    <w:pPr>
      <w:ind w:left="1132" w:hanging="283"/>
      <w:contextualSpacing/>
    </w:pPr>
  </w:style>
  <w:style w:type="paragraph" w:customStyle="1" w:styleId="Address2">
    <w:name w:val="Address 2"/>
    <w:basedOn w:val="Normal"/>
    <w:uiPriority w:val="17"/>
    <w:rsid w:val="00D67411"/>
    <w:rPr>
      <w:rFonts w:eastAsia="Times New Roman"/>
      <w:sz w:val="14"/>
    </w:rPr>
  </w:style>
  <w:style w:type="paragraph" w:customStyle="1" w:styleId="address3">
    <w:name w:val="address 3"/>
    <w:basedOn w:val="Address2"/>
    <w:uiPriority w:val="17"/>
    <w:rsid w:val="00D67411"/>
    <w:pPr>
      <w:spacing w:after="120" w:line="240" w:lineRule="auto"/>
    </w:pPr>
    <w:rPr>
      <w:sz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GB" w:eastAsia="en-GB" w:bidi="ar-SA"/>
      </w:rPr>
    </w:rPrDefault>
    <w:pPrDefault>
      <w:pPr>
        <w:spacing w:line="264"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4" w:uiPriority="39"/>
    <w:lsdException w:name="header" w:uiPriority="13"/>
    <w:lsdException w:name="footer" w:uiPriority="13"/>
    <w:lsdException w:name="List" w:uiPriority="29"/>
    <w:lsdException w:name="List Bullet" w:uiPriority="29"/>
    <w:lsdException w:name="List Number" w:uiPriority="29"/>
    <w:lsdException w:name="List 2" w:uiPriority="29"/>
    <w:lsdException w:name="List 3" w:uiPriority="29"/>
    <w:lsdException w:name="List 4" w:uiPriority="29"/>
    <w:lsdException w:name="List 5" w:uiPriority="29"/>
    <w:lsdException w:name="List Bullet 2" w:uiPriority="29"/>
    <w:lsdException w:name="List Bullet 3" w:uiPriority="29"/>
    <w:lsdException w:name="List Bullet 4" w:uiPriority="29"/>
    <w:lsdException w:name="List Bullet 5" w:uiPriority="29"/>
    <w:lsdException w:name="List Number 2" w:uiPriority="29"/>
    <w:lsdException w:name="List Number 3" w:uiPriority="29"/>
    <w:lsdException w:name="List Number 4" w:uiPriority="29"/>
    <w:lsdException w:name="List Number 5" w:uiPriority="29"/>
    <w:lsdException w:name="List Continue" w:uiPriority="29"/>
    <w:lsdException w:name="List Continue 2" w:uiPriority="29"/>
    <w:lsdException w:name="List Continue 3" w:uiPriority="29"/>
    <w:lsdException w:name="List Continue 4" w:uiPriority="29"/>
    <w:lsdException w:name="List Continue 5" w:uiPriority="29"/>
    <w:lsdException w:name="Hyperlink" w:uiPriority="99"/>
    <w:lsdException w:name="Strong" w:semiHidden="1" w:uiPriority="33"/>
    <w:lsdException w:name="E-mail Signature" w:semiHidden="1" w:uiPriority="17"/>
    <w:lsdException w:name="HTML Acronym" w:uiPriority="29"/>
    <w:lsdException w:name="HTML Address" w:uiPriority="29"/>
    <w:lsdException w:name="HTML Cite" w:uiPriority="29"/>
    <w:lsdException w:name="HTML Code" w:uiPriority="29"/>
    <w:lsdException w:name="HTML Definition" w:uiPriority="29"/>
    <w:lsdException w:name="HTML Keyboard" w:uiPriority="29"/>
    <w:lsdException w:name="HTML Preformatted" w:uiPriority="29"/>
    <w:lsdException w:name="HTML Sample" w:uiPriority="29"/>
    <w:lsdException w:name="HTML Typewriter" w:uiPriority="29"/>
    <w:lsdException w:name="HTML Variable" w:uiPriority="29"/>
    <w:lsdException w:name="annotation subject" w:semiHidden="1" w:uiPriority="17" w:unhideWhenUsed="1"/>
    <w:lsdException w:name="Placeholder Text" w:semiHidden="1" w:uiPriority="99"/>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semiHidden="1" w:uiPriority="4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34"/>
    <w:lsdException w:name="Intense Emphasis" w:semiHidden="1" w:uiPriority="59"/>
    <w:lsdException w:name="Subtle Reference" w:semiHidden="1" w:uiPriority="41" w:qFormat="1"/>
    <w:lsdException w:name="Intense Reference" w:semiHidden="1" w:uiPriority="59" w:qFormat="1"/>
    <w:lsdException w:name="Book Title" w:uiPriority="33"/>
    <w:lsdException w:name="Bibliography" w:semiHidden="1" w:uiPriority="47" w:unhideWhenUsed="1"/>
    <w:lsdException w:name="TOC Heading" w:semiHidden="1" w:uiPriority="39" w:unhideWhenUsed="1"/>
  </w:latentStyles>
  <w:style w:type="paragraph" w:default="1" w:styleId="Normal">
    <w:name w:val="Normal"/>
    <w:uiPriority w:val="7"/>
    <w:qFormat/>
    <w:rsid w:val="00D67411"/>
    <w:rPr>
      <w:rFonts w:eastAsia="Arial Unicode MS"/>
      <w:lang w:val="fr-FR"/>
    </w:rPr>
  </w:style>
  <w:style w:type="paragraph" w:styleId="Heading1">
    <w:name w:val="heading 1"/>
    <w:basedOn w:val="Level1"/>
    <w:next w:val="Body2"/>
    <w:link w:val="Heading1Char"/>
    <w:uiPriority w:val="4"/>
    <w:qFormat/>
    <w:rsid w:val="00002F65"/>
    <w:pPr>
      <w:keepNext/>
    </w:pPr>
    <w:rPr>
      <w:b/>
      <w:smallCaps/>
    </w:rPr>
  </w:style>
  <w:style w:type="paragraph" w:styleId="Heading2">
    <w:name w:val="heading 2"/>
    <w:basedOn w:val="Level2"/>
    <w:next w:val="Body2"/>
    <w:link w:val="Heading2Char"/>
    <w:uiPriority w:val="4"/>
    <w:qFormat/>
    <w:rsid w:val="00002F65"/>
    <w:pPr>
      <w:keepNext/>
    </w:pPr>
    <w:rPr>
      <w:b/>
    </w:rPr>
  </w:style>
  <w:style w:type="paragraph" w:styleId="Heading3">
    <w:name w:val="heading 3"/>
    <w:basedOn w:val="Level3"/>
    <w:next w:val="Body3"/>
    <w:link w:val="Heading3Char"/>
    <w:uiPriority w:val="4"/>
    <w:qFormat/>
    <w:rsid w:val="00002F65"/>
    <w:pPr>
      <w:keepNext/>
      <w:ind w:left="1418" w:hanging="709"/>
    </w:pPr>
    <w:rPr>
      <w:b/>
    </w:rPr>
  </w:style>
  <w:style w:type="paragraph" w:styleId="Heading4">
    <w:name w:val="heading 4"/>
    <w:basedOn w:val="Level4"/>
    <w:next w:val="Body4"/>
    <w:link w:val="Heading4Char"/>
    <w:uiPriority w:val="5"/>
    <w:semiHidden/>
    <w:qFormat/>
    <w:rsid w:val="00002F65"/>
    <w:pPr>
      <w:keepNext/>
      <w:numPr>
        <w:numId w:val="2"/>
      </w:numPr>
      <w:ind w:left="2127"/>
    </w:pPr>
    <w:rPr>
      <w:b/>
    </w:rPr>
  </w:style>
  <w:style w:type="paragraph" w:styleId="Heading5">
    <w:name w:val="heading 5"/>
    <w:basedOn w:val="Normal"/>
    <w:next w:val="Normal"/>
    <w:link w:val="Heading5Char"/>
    <w:uiPriority w:val="5"/>
    <w:semiHidden/>
    <w:qFormat/>
    <w:pPr>
      <w:spacing w:before="240" w:after="60"/>
      <w:outlineLvl w:val="4"/>
    </w:pPr>
    <w:rPr>
      <w:sz w:val="22"/>
    </w:rPr>
  </w:style>
  <w:style w:type="paragraph" w:styleId="Heading6">
    <w:name w:val="heading 6"/>
    <w:basedOn w:val="Normal"/>
    <w:next w:val="Normal"/>
    <w:uiPriority w:val="16"/>
    <w:semiHidden/>
    <w:qFormat/>
    <w:pPr>
      <w:spacing w:before="240" w:after="60"/>
      <w:outlineLvl w:val="5"/>
    </w:pPr>
    <w:rPr>
      <w:rFonts w:ascii="Times New Roman" w:hAnsi="Times New Roman"/>
      <w:i/>
      <w:sz w:val="22"/>
    </w:rPr>
  </w:style>
  <w:style w:type="paragraph" w:styleId="Heading7">
    <w:name w:val="heading 7"/>
    <w:basedOn w:val="Normal"/>
    <w:next w:val="Normal"/>
    <w:uiPriority w:val="16"/>
    <w:semiHidden/>
    <w:qFormat/>
    <w:pPr>
      <w:spacing w:before="240" w:after="60"/>
      <w:outlineLvl w:val="6"/>
    </w:pPr>
    <w:rPr>
      <w:sz w:val="20"/>
    </w:rPr>
  </w:style>
  <w:style w:type="paragraph" w:styleId="Heading8">
    <w:name w:val="heading 8"/>
    <w:basedOn w:val="Normal"/>
    <w:next w:val="Normal"/>
    <w:uiPriority w:val="16"/>
    <w:semiHidden/>
    <w:qFormat/>
    <w:pPr>
      <w:spacing w:before="240" w:after="60"/>
      <w:outlineLvl w:val="7"/>
    </w:pPr>
    <w:rPr>
      <w:i/>
      <w:sz w:val="20"/>
    </w:rPr>
  </w:style>
  <w:style w:type="paragraph" w:styleId="Heading9">
    <w:name w:val="heading 9"/>
    <w:basedOn w:val="Normal"/>
    <w:next w:val="Normal"/>
    <w:uiPriority w:val="16"/>
    <w:semiHidden/>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uiPriority w:val="17"/>
    <w:semiHidden/>
    <w:pPr>
      <w:spacing w:after="210"/>
    </w:pPr>
  </w:style>
  <w:style w:type="paragraph" w:customStyle="1" w:styleId="Body1">
    <w:name w:val="Body 1"/>
    <w:basedOn w:val="Body"/>
    <w:link w:val="Body1Char"/>
    <w:qFormat/>
  </w:style>
  <w:style w:type="paragraph" w:customStyle="1" w:styleId="Body2">
    <w:name w:val="Body 2"/>
    <w:basedOn w:val="Body1"/>
    <w:link w:val="Body2Char"/>
    <w:qFormat/>
    <w:pPr>
      <w:ind w:left="709"/>
    </w:pPr>
  </w:style>
  <w:style w:type="paragraph" w:customStyle="1" w:styleId="Body3">
    <w:name w:val="Body 3"/>
    <w:basedOn w:val="Body2"/>
    <w:link w:val="Body3Char"/>
    <w:qFormat/>
    <w:pPr>
      <w:ind w:left="1418"/>
    </w:pPr>
  </w:style>
  <w:style w:type="paragraph" w:customStyle="1" w:styleId="Body4">
    <w:name w:val="Body 4"/>
    <w:basedOn w:val="Body3"/>
    <w:link w:val="Body4Char"/>
    <w:qFormat/>
    <w:pPr>
      <w:ind w:left="2126"/>
    </w:pPr>
  </w:style>
  <w:style w:type="paragraph" w:customStyle="1" w:styleId="Body5">
    <w:name w:val="Body 5"/>
    <w:basedOn w:val="Body4"/>
    <w:link w:val="Body5Char"/>
    <w:qFormat/>
    <w:pPr>
      <w:ind w:left="2835"/>
    </w:pPr>
  </w:style>
  <w:style w:type="character" w:customStyle="1" w:styleId="BoldText">
    <w:name w:val="BoldText"/>
    <w:basedOn w:val="DefaultParagraphFont"/>
    <w:uiPriority w:val="15"/>
    <w:qFormat/>
    <w:rPr>
      <w:b/>
    </w:rPr>
  </w:style>
  <w:style w:type="paragraph" w:styleId="Footer">
    <w:name w:val="footer"/>
    <w:basedOn w:val="Normal"/>
    <w:link w:val="FooterChar"/>
    <w:uiPriority w:val="13"/>
    <w:unhideWhenUsed/>
    <w:pPr>
      <w:tabs>
        <w:tab w:val="center" w:pos="4536"/>
        <w:tab w:val="right" w:pos="9072"/>
      </w:tabs>
      <w:jc w:val="left"/>
    </w:pPr>
    <w:rPr>
      <w:sz w:val="16"/>
    </w:rPr>
  </w:style>
  <w:style w:type="character" w:styleId="FootnoteReference">
    <w:name w:val="footnote reference"/>
    <w:basedOn w:val="DefaultParagraphFont"/>
    <w:uiPriority w:val="17"/>
    <w:unhideWhenUsed/>
    <w:rPr>
      <w:vertAlign w:val="superscript"/>
    </w:rPr>
  </w:style>
  <w:style w:type="paragraph" w:styleId="FootnoteText">
    <w:name w:val="footnote text"/>
    <w:basedOn w:val="Normal"/>
    <w:uiPriority w:val="17"/>
    <w:unhideWhenUsed/>
    <w:pPr>
      <w:tabs>
        <w:tab w:val="left" w:pos="720"/>
      </w:tabs>
      <w:ind w:left="720" w:hanging="720"/>
    </w:pPr>
    <w:rPr>
      <w:sz w:val="16"/>
    </w:rPr>
  </w:style>
  <w:style w:type="paragraph" w:styleId="Header">
    <w:name w:val="header"/>
    <w:basedOn w:val="Normal"/>
    <w:link w:val="HeaderChar"/>
    <w:uiPriority w:val="13"/>
    <w:unhideWhenUsed/>
    <w:pPr>
      <w:tabs>
        <w:tab w:val="center" w:pos="4536"/>
        <w:tab w:val="right" w:pos="9072"/>
      </w:tabs>
    </w:pPr>
  </w:style>
  <w:style w:type="character" w:customStyle="1" w:styleId="Heading1Text">
    <w:name w:val="Heading 1 Text"/>
    <w:basedOn w:val="BoldText"/>
    <w:uiPriority w:val="14"/>
    <w:qFormat/>
    <w:rPr>
      <w:b/>
      <w:smallCaps/>
    </w:rPr>
  </w:style>
  <w:style w:type="character" w:customStyle="1" w:styleId="Heading2Text">
    <w:name w:val="Heading 2 Text"/>
    <w:basedOn w:val="BoldText"/>
    <w:uiPriority w:val="14"/>
    <w:semiHidden/>
    <w:rPr>
      <w:b/>
    </w:rPr>
  </w:style>
  <w:style w:type="character" w:customStyle="1" w:styleId="Heading3Text">
    <w:name w:val="Heading 3 Text"/>
    <w:basedOn w:val="Heading2Text"/>
    <w:uiPriority w:val="14"/>
    <w:semiHidden/>
    <w:rPr>
      <w:b/>
    </w:rPr>
  </w:style>
  <w:style w:type="character" w:customStyle="1" w:styleId="Heading4Text">
    <w:name w:val="Heading 4 Text"/>
    <w:basedOn w:val="Heading3Text"/>
    <w:uiPriority w:val="14"/>
    <w:semiHidden/>
    <w:rPr>
      <w:b/>
    </w:rPr>
  </w:style>
  <w:style w:type="paragraph" w:customStyle="1" w:styleId="Level1">
    <w:name w:val="Level 1"/>
    <w:basedOn w:val="Body1"/>
    <w:next w:val="Body2"/>
    <w:link w:val="Level1Char"/>
    <w:uiPriority w:val="6"/>
    <w:qFormat/>
    <w:pPr>
      <w:numPr>
        <w:numId w:val="1"/>
      </w:numPr>
      <w:outlineLvl w:val="0"/>
    </w:pPr>
  </w:style>
  <w:style w:type="paragraph" w:customStyle="1" w:styleId="Level2">
    <w:name w:val="Level 2"/>
    <w:basedOn w:val="Body2"/>
    <w:next w:val="Body2"/>
    <w:link w:val="Level2Char"/>
    <w:uiPriority w:val="6"/>
    <w:qFormat/>
    <w:pPr>
      <w:numPr>
        <w:ilvl w:val="1"/>
        <w:numId w:val="1"/>
      </w:numPr>
      <w:outlineLvl w:val="1"/>
    </w:pPr>
  </w:style>
  <w:style w:type="paragraph" w:customStyle="1" w:styleId="Level3">
    <w:name w:val="Level 3"/>
    <w:basedOn w:val="Body3"/>
    <w:next w:val="Body3"/>
    <w:link w:val="Level3Char"/>
    <w:uiPriority w:val="6"/>
    <w:qFormat/>
    <w:pPr>
      <w:numPr>
        <w:ilvl w:val="2"/>
        <w:numId w:val="1"/>
      </w:numPr>
      <w:outlineLvl w:val="2"/>
    </w:pPr>
  </w:style>
  <w:style w:type="paragraph" w:customStyle="1" w:styleId="Level4">
    <w:name w:val="Level 4"/>
    <w:basedOn w:val="Body4"/>
    <w:next w:val="Body4"/>
    <w:link w:val="Level4Char"/>
    <w:uiPriority w:val="6"/>
    <w:qFormat/>
    <w:pPr>
      <w:numPr>
        <w:ilvl w:val="3"/>
        <w:numId w:val="1"/>
      </w:numPr>
      <w:outlineLvl w:val="3"/>
    </w:pPr>
  </w:style>
  <w:style w:type="paragraph" w:customStyle="1" w:styleId="Level5">
    <w:name w:val="Level 5"/>
    <w:basedOn w:val="Body5"/>
    <w:next w:val="Body5"/>
    <w:link w:val="Level5Char"/>
    <w:uiPriority w:val="6"/>
    <w:qFormat/>
    <w:pPr>
      <w:numPr>
        <w:ilvl w:val="4"/>
        <w:numId w:val="1"/>
      </w:numPr>
      <w:outlineLvl w:val="4"/>
    </w:pPr>
  </w:style>
  <w:style w:type="paragraph" w:styleId="TOC1">
    <w:name w:val="toc 1"/>
    <w:basedOn w:val="Body"/>
    <w:next w:val="Normal"/>
    <w:uiPriority w:val="39"/>
    <w:semiHidden/>
    <w:rsid w:val="009E5624"/>
    <w:pPr>
      <w:tabs>
        <w:tab w:val="left" w:pos="709"/>
        <w:tab w:val="right" w:pos="9072"/>
      </w:tabs>
      <w:spacing w:after="120"/>
      <w:ind w:left="709" w:hanging="709"/>
      <w:jc w:val="left"/>
    </w:pPr>
    <w:rPr>
      <w:b/>
      <w:smallCaps/>
    </w:rPr>
  </w:style>
  <w:style w:type="paragraph" w:styleId="TOC2">
    <w:name w:val="toc 2"/>
    <w:basedOn w:val="Body1"/>
    <w:semiHidden/>
    <w:rsid w:val="000A6825"/>
    <w:pPr>
      <w:tabs>
        <w:tab w:val="left" w:pos="706"/>
        <w:tab w:val="left" w:pos="1418"/>
        <w:tab w:val="right" w:pos="9072"/>
      </w:tabs>
      <w:ind w:left="709"/>
    </w:pPr>
    <w:rPr>
      <w:b/>
    </w:rPr>
  </w:style>
  <w:style w:type="paragraph" w:styleId="TOC3">
    <w:name w:val="toc 3"/>
    <w:basedOn w:val="TOC2"/>
    <w:next w:val="Normal"/>
    <w:semiHidden/>
    <w:rsid w:val="00CE2D50"/>
    <w:pPr>
      <w:ind w:left="1418"/>
    </w:pPr>
  </w:style>
  <w:style w:type="paragraph" w:styleId="TOC4">
    <w:name w:val="toc 4"/>
    <w:basedOn w:val="Normal"/>
    <w:next w:val="Normal"/>
    <w:uiPriority w:val="39"/>
    <w:semiHidden/>
    <w:rsid w:val="008C77D5"/>
    <w:pPr>
      <w:numPr>
        <w:numId w:val="16"/>
      </w:numPr>
      <w:tabs>
        <w:tab w:val="left" w:pos="0"/>
        <w:tab w:val="left" w:pos="709"/>
        <w:tab w:val="right" w:pos="9072"/>
      </w:tabs>
      <w:spacing w:after="120"/>
      <w:ind w:left="709" w:hanging="709"/>
      <w:jc w:val="left"/>
    </w:pPr>
    <w:rPr>
      <w:b/>
      <w:smallCaps/>
    </w:rPr>
  </w:style>
  <w:style w:type="paragraph" w:styleId="BlockText">
    <w:name w:val="Block Text"/>
    <w:basedOn w:val="Normal"/>
    <w:uiPriority w:val="17"/>
    <w:semiHidden/>
    <w:pPr>
      <w:spacing w:after="120"/>
      <w:ind w:left="1440" w:right="1440"/>
    </w:pPr>
  </w:style>
  <w:style w:type="paragraph" w:styleId="BodyText">
    <w:name w:val="Body Text"/>
    <w:basedOn w:val="Normal"/>
    <w:uiPriority w:val="17"/>
    <w:semiHidden/>
    <w:pPr>
      <w:spacing w:after="120"/>
    </w:pPr>
  </w:style>
  <w:style w:type="character" w:customStyle="1" w:styleId="BoldItalicText">
    <w:name w:val="BoldItalicText"/>
    <w:basedOn w:val="DefaultParagraphFont"/>
    <w:uiPriority w:val="17"/>
    <w:semiHidden/>
    <w:rPr>
      <w:b/>
      <w:i/>
    </w:rPr>
  </w:style>
  <w:style w:type="character" w:customStyle="1" w:styleId="ItalicText">
    <w:name w:val="ItalicText"/>
    <w:basedOn w:val="DefaultParagraphFont"/>
    <w:uiPriority w:val="15"/>
    <w:qFormat/>
    <w:rPr>
      <w:i/>
    </w:rPr>
  </w:style>
  <w:style w:type="character" w:customStyle="1" w:styleId="BoldUnderlinedText">
    <w:name w:val="BoldUnderlinedText"/>
    <w:basedOn w:val="DefaultParagraphFont"/>
    <w:uiPriority w:val="17"/>
    <w:semiHidden/>
    <w:rPr>
      <w:b/>
      <w:u w:val="single"/>
    </w:rPr>
  </w:style>
  <w:style w:type="character" w:customStyle="1" w:styleId="UnderlinedText">
    <w:name w:val="UnderlinedText"/>
    <w:basedOn w:val="DefaultParagraphFont"/>
    <w:uiPriority w:val="15"/>
    <w:rPr>
      <w:u w:val="single"/>
    </w:rPr>
  </w:style>
  <w:style w:type="paragraph" w:styleId="BodyText2">
    <w:name w:val="Body Text 2"/>
    <w:basedOn w:val="Normal"/>
    <w:uiPriority w:val="17"/>
    <w:semiHidden/>
    <w:pPr>
      <w:spacing w:after="120" w:line="480" w:lineRule="auto"/>
    </w:pPr>
  </w:style>
  <w:style w:type="paragraph" w:styleId="BodyText3">
    <w:name w:val="Body Text 3"/>
    <w:basedOn w:val="Normal"/>
    <w:uiPriority w:val="17"/>
    <w:semiHidden/>
    <w:pPr>
      <w:spacing w:after="120"/>
    </w:pPr>
    <w:rPr>
      <w:sz w:val="16"/>
    </w:rPr>
  </w:style>
  <w:style w:type="paragraph" w:styleId="BodyTextFirstIndent">
    <w:name w:val="Body Text First Indent"/>
    <w:basedOn w:val="BodyText"/>
    <w:uiPriority w:val="17"/>
    <w:semiHidden/>
    <w:pPr>
      <w:ind w:firstLine="210"/>
    </w:pPr>
  </w:style>
  <w:style w:type="paragraph" w:styleId="BodyTextIndent">
    <w:name w:val="Body Text Indent"/>
    <w:basedOn w:val="Normal"/>
    <w:uiPriority w:val="17"/>
    <w:semiHidden/>
    <w:pPr>
      <w:spacing w:after="120"/>
      <w:ind w:left="283"/>
    </w:pPr>
  </w:style>
  <w:style w:type="paragraph" w:styleId="BodyTextFirstIndent2">
    <w:name w:val="Body Text First Indent 2"/>
    <w:basedOn w:val="BodyTextIndent"/>
    <w:uiPriority w:val="17"/>
    <w:semiHidden/>
    <w:pPr>
      <w:ind w:firstLine="210"/>
    </w:pPr>
  </w:style>
  <w:style w:type="paragraph" w:styleId="BodyTextIndent2">
    <w:name w:val="Body Text Indent 2"/>
    <w:basedOn w:val="Normal"/>
    <w:uiPriority w:val="17"/>
    <w:semiHidden/>
    <w:pPr>
      <w:spacing w:after="120" w:line="480" w:lineRule="auto"/>
      <w:ind w:left="283"/>
    </w:pPr>
  </w:style>
  <w:style w:type="paragraph" w:styleId="BodyTextIndent3">
    <w:name w:val="Body Text Indent 3"/>
    <w:basedOn w:val="Normal"/>
    <w:uiPriority w:val="17"/>
    <w:semiHidden/>
    <w:pPr>
      <w:spacing w:after="120"/>
      <w:ind w:left="283"/>
    </w:pPr>
    <w:rPr>
      <w:sz w:val="16"/>
    </w:rPr>
  </w:style>
  <w:style w:type="paragraph" w:styleId="Caption">
    <w:name w:val="caption"/>
    <w:basedOn w:val="Normal"/>
    <w:next w:val="Normal"/>
    <w:uiPriority w:val="17"/>
    <w:unhideWhenUsed/>
    <w:pPr>
      <w:spacing w:before="120" w:after="120"/>
    </w:pPr>
    <w:rPr>
      <w:b/>
    </w:rPr>
  </w:style>
  <w:style w:type="paragraph" w:styleId="Closing">
    <w:name w:val="Closing"/>
    <w:basedOn w:val="Normal"/>
    <w:uiPriority w:val="17"/>
    <w:semiHidden/>
    <w:pPr>
      <w:ind w:left="4252"/>
    </w:pPr>
  </w:style>
  <w:style w:type="character" w:styleId="CommentReference">
    <w:name w:val="annotation reference"/>
    <w:basedOn w:val="DefaultParagraphFont"/>
    <w:uiPriority w:val="17"/>
    <w:semiHidden/>
    <w:rPr>
      <w:sz w:val="16"/>
    </w:rPr>
  </w:style>
  <w:style w:type="paragraph" w:styleId="CommentText">
    <w:name w:val="annotation text"/>
    <w:basedOn w:val="Normal"/>
    <w:link w:val="CommentTextChar"/>
    <w:uiPriority w:val="17"/>
    <w:semiHidden/>
    <w:rPr>
      <w:sz w:val="20"/>
    </w:rPr>
  </w:style>
  <w:style w:type="paragraph" w:styleId="Date">
    <w:name w:val="Date"/>
    <w:basedOn w:val="Normal"/>
    <w:next w:val="Normal"/>
    <w:uiPriority w:val="17"/>
    <w:semiHidden/>
  </w:style>
  <w:style w:type="paragraph" w:styleId="DocumentMap">
    <w:name w:val="Document Map"/>
    <w:basedOn w:val="Normal"/>
    <w:uiPriority w:val="17"/>
    <w:semiHidden/>
    <w:pPr>
      <w:shd w:val="clear" w:color="auto" w:fill="000080"/>
    </w:pPr>
    <w:rPr>
      <w:rFonts w:ascii="Tahoma" w:hAnsi="Tahoma"/>
    </w:rPr>
  </w:style>
  <w:style w:type="character" w:styleId="Emphasis">
    <w:name w:val="Emphasis"/>
    <w:basedOn w:val="DefaultParagraphFont"/>
    <w:uiPriority w:val="29"/>
    <w:semiHidden/>
    <w:rsid w:val="00E45680"/>
    <w:rPr>
      <w:b/>
      <w:i w:val="0"/>
    </w:rPr>
  </w:style>
  <w:style w:type="character" w:styleId="EndnoteReference">
    <w:name w:val="endnote reference"/>
    <w:basedOn w:val="DefaultParagraphFont"/>
    <w:uiPriority w:val="17"/>
    <w:semiHidden/>
    <w:rPr>
      <w:vertAlign w:val="superscript"/>
    </w:rPr>
  </w:style>
  <w:style w:type="paragraph" w:styleId="EndnoteText">
    <w:name w:val="endnote text"/>
    <w:basedOn w:val="Normal"/>
    <w:uiPriority w:val="17"/>
    <w:semiHidden/>
    <w:rPr>
      <w:sz w:val="20"/>
    </w:rPr>
  </w:style>
  <w:style w:type="paragraph" w:styleId="EnvelopeAddress">
    <w:name w:val="envelope address"/>
    <w:basedOn w:val="Normal"/>
    <w:uiPriority w:val="17"/>
    <w:semiHidden/>
    <w:pPr>
      <w:framePr w:w="7920" w:h="1980" w:hRule="exact" w:hSpace="180" w:wrap="auto" w:hAnchor="page" w:xAlign="center" w:yAlign="bottom"/>
      <w:ind w:left="2880"/>
    </w:pPr>
    <w:rPr>
      <w:sz w:val="24"/>
    </w:rPr>
  </w:style>
  <w:style w:type="paragraph" w:styleId="EnvelopeReturn">
    <w:name w:val="envelope return"/>
    <w:basedOn w:val="Normal"/>
    <w:uiPriority w:val="17"/>
    <w:semiHidden/>
    <w:rPr>
      <w:sz w:val="20"/>
    </w:rPr>
  </w:style>
  <w:style w:type="character" w:styleId="FollowedHyperlink">
    <w:name w:val="FollowedHyperlink"/>
    <w:basedOn w:val="DefaultParagraphFont"/>
    <w:uiPriority w:val="17"/>
    <w:unhideWhenUsed/>
    <w:rPr>
      <w:color w:val="800080"/>
      <w:u w:val="single"/>
    </w:rPr>
  </w:style>
  <w:style w:type="character" w:styleId="Hyperlink">
    <w:name w:val="Hyperlink"/>
    <w:basedOn w:val="DefaultParagraphFont"/>
    <w:uiPriority w:val="99"/>
    <w:rPr>
      <w:color w:val="0000FF"/>
      <w:u w:val="single"/>
    </w:rPr>
  </w:style>
  <w:style w:type="paragraph" w:styleId="Index1">
    <w:name w:val="index 1"/>
    <w:basedOn w:val="Normal"/>
    <w:next w:val="Normal"/>
    <w:autoRedefine/>
    <w:uiPriority w:val="17"/>
    <w:semiHidden/>
    <w:pPr>
      <w:ind w:left="210" w:hanging="210"/>
    </w:pPr>
  </w:style>
  <w:style w:type="paragraph" w:styleId="Index2">
    <w:name w:val="index 2"/>
    <w:basedOn w:val="Normal"/>
    <w:next w:val="Normal"/>
    <w:autoRedefine/>
    <w:uiPriority w:val="17"/>
    <w:semiHidden/>
    <w:pPr>
      <w:ind w:left="420" w:hanging="210"/>
    </w:pPr>
  </w:style>
  <w:style w:type="paragraph" w:styleId="Index3">
    <w:name w:val="index 3"/>
    <w:basedOn w:val="Normal"/>
    <w:next w:val="Normal"/>
    <w:autoRedefine/>
    <w:uiPriority w:val="17"/>
    <w:semiHidden/>
    <w:pPr>
      <w:ind w:left="630" w:hanging="210"/>
    </w:pPr>
  </w:style>
  <w:style w:type="paragraph" w:styleId="Index4">
    <w:name w:val="index 4"/>
    <w:basedOn w:val="Normal"/>
    <w:next w:val="Normal"/>
    <w:autoRedefine/>
    <w:uiPriority w:val="17"/>
    <w:semiHidden/>
    <w:pPr>
      <w:ind w:left="840" w:hanging="210"/>
    </w:pPr>
  </w:style>
  <w:style w:type="paragraph" w:styleId="Index5">
    <w:name w:val="index 5"/>
    <w:basedOn w:val="Normal"/>
    <w:next w:val="Normal"/>
    <w:autoRedefine/>
    <w:uiPriority w:val="17"/>
    <w:semiHidden/>
    <w:pPr>
      <w:ind w:left="1050" w:hanging="210"/>
    </w:pPr>
  </w:style>
  <w:style w:type="paragraph" w:styleId="Index6">
    <w:name w:val="index 6"/>
    <w:basedOn w:val="Normal"/>
    <w:next w:val="Normal"/>
    <w:autoRedefine/>
    <w:uiPriority w:val="17"/>
    <w:semiHidden/>
    <w:pPr>
      <w:ind w:left="1260" w:hanging="210"/>
    </w:pPr>
  </w:style>
  <w:style w:type="paragraph" w:styleId="Index7">
    <w:name w:val="index 7"/>
    <w:basedOn w:val="Normal"/>
    <w:next w:val="Normal"/>
    <w:autoRedefine/>
    <w:uiPriority w:val="17"/>
    <w:semiHidden/>
    <w:pPr>
      <w:ind w:left="1470" w:hanging="210"/>
    </w:pPr>
  </w:style>
  <w:style w:type="paragraph" w:styleId="Index8">
    <w:name w:val="index 8"/>
    <w:basedOn w:val="Normal"/>
    <w:next w:val="Normal"/>
    <w:autoRedefine/>
    <w:uiPriority w:val="17"/>
    <w:semiHidden/>
    <w:pPr>
      <w:ind w:left="1680" w:hanging="210"/>
    </w:pPr>
  </w:style>
  <w:style w:type="paragraph" w:styleId="Index9">
    <w:name w:val="index 9"/>
    <w:basedOn w:val="Normal"/>
    <w:next w:val="Normal"/>
    <w:autoRedefine/>
    <w:uiPriority w:val="17"/>
    <w:semiHidden/>
    <w:pPr>
      <w:ind w:left="1890" w:hanging="210"/>
    </w:pPr>
  </w:style>
  <w:style w:type="paragraph" w:styleId="IndexHeading">
    <w:name w:val="index heading"/>
    <w:basedOn w:val="Normal"/>
    <w:next w:val="Index1"/>
    <w:uiPriority w:val="17"/>
    <w:semiHidden/>
    <w:rPr>
      <w:b/>
    </w:rPr>
  </w:style>
  <w:style w:type="character" w:styleId="LineNumber">
    <w:name w:val="line number"/>
    <w:basedOn w:val="DefaultParagraphFont"/>
    <w:uiPriority w:val="17"/>
    <w:semiHidden/>
  </w:style>
  <w:style w:type="paragraph" w:styleId="MacroText">
    <w:name w:val="macro"/>
    <w:uiPriority w:val="17"/>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kern w:val="28"/>
      <w:lang w:eastAsia="zh-CN"/>
    </w:rPr>
  </w:style>
  <w:style w:type="paragraph" w:styleId="MessageHeader">
    <w:name w:val="Message Header"/>
    <w:basedOn w:val="Normal"/>
    <w:uiPriority w:val="17"/>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Indent">
    <w:name w:val="Normal Indent"/>
    <w:basedOn w:val="Normal"/>
    <w:uiPriority w:val="29"/>
    <w:pPr>
      <w:ind w:left="720"/>
    </w:pPr>
  </w:style>
  <w:style w:type="paragraph" w:styleId="NoteHeading">
    <w:name w:val="Note Heading"/>
    <w:basedOn w:val="Normal"/>
    <w:next w:val="Normal"/>
    <w:uiPriority w:val="17"/>
    <w:semiHidden/>
  </w:style>
  <w:style w:type="character" w:styleId="PageNumber">
    <w:name w:val="page number"/>
    <w:basedOn w:val="DefaultParagraphFont"/>
    <w:uiPriority w:val="17"/>
    <w:semiHidden/>
  </w:style>
  <w:style w:type="paragraph" w:styleId="PlainText">
    <w:name w:val="Plain Text"/>
    <w:basedOn w:val="Normal"/>
    <w:uiPriority w:val="17"/>
    <w:semiHidden/>
    <w:rPr>
      <w:rFonts w:ascii="Courier New" w:hAnsi="Courier New"/>
      <w:sz w:val="20"/>
    </w:rPr>
  </w:style>
  <w:style w:type="paragraph" w:styleId="Salutation">
    <w:name w:val="Salutation"/>
    <w:basedOn w:val="Normal"/>
    <w:next w:val="Normal"/>
    <w:uiPriority w:val="17"/>
    <w:semiHidden/>
  </w:style>
  <w:style w:type="paragraph" w:styleId="Signature">
    <w:name w:val="Signature"/>
    <w:basedOn w:val="Normal"/>
    <w:uiPriority w:val="17"/>
    <w:semiHidden/>
    <w:pPr>
      <w:ind w:left="4252"/>
    </w:pPr>
  </w:style>
  <w:style w:type="paragraph" w:customStyle="1" w:styleId="CentredSubheading">
    <w:name w:val="Centred Subheading"/>
    <w:basedOn w:val="Centred"/>
    <w:next w:val="Body1"/>
    <w:uiPriority w:val="13"/>
    <w:qFormat/>
    <w:rsid w:val="006E1EA1"/>
    <w:rPr>
      <w:b/>
    </w:rPr>
  </w:style>
  <w:style w:type="paragraph" w:styleId="TableofAuthorities">
    <w:name w:val="table of authorities"/>
    <w:basedOn w:val="Normal"/>
    <w:next w:val="Normal"/>
    <w:uiPriority w:val="17"/>
    <w:semiHidden/>
    <w:pPr>
      <w:ind w:left="210" w:hanging="210"/>
    </w:pPr>
  </w:style>
  <w:style w:type="paragraph" w:styleId="TableofFigures">
    <w:name w:val="table of figures"/>
    <w:basedOn w:val="Normal"/>
    <w:next w:val="Normal"/>
    <w:uiPriority w:val="17"/>
    <w:semiHidden/>
    <w:pPr>
      <w:ind w:left="420" w:hanging="420"/>
    </w:pPr>
  </w:style>
  <w:style w:type="paragraph" w:styleId="TOAHeading">
    <w:name w:val="toa heading"/>
    <w:basedOn w:val="Normal"/>
    <w:next w:val="Normal"/>
    <w:uiPriority w:val="49"/>
    <w:semiHidden/>
    <w:pPr>
      <w:spacing w:before="120"/>
    </w:pPr>
    <w:rPr>
      <w:b/>
      <w:sz w:val="24"/>
    </w:rPr>
  </w:style>
  <w:style w:type="paragraph" w:styleId="TOC5">
    <w:name w:val="toc 5"/>
    <w:basedOn w:val="Body1"/>
    <w:next w:val="Body1"/>
    <w:semiHidden/>
    <w:rsid w:val="00DB4683"/>
    <w:pPr>
      <w:spacing w:after="120"/>
      <w:ind w:left="709"/>
      <w:contextualSpacing/>
      <w:jc w:val="left"/>
    </w:pPr>
  </w:style>
  <w:style w:type="paragraph" w:styleId="TOC6">
    <w:name w:val="toc 6"/>
    <w:basedOn w:val="Normal"/>
    <w:next w:val="Normal"/>
    <w:autoRedefine/>
    <w:uiPriority w:val="49"/>
    <w:semiHidden/>
    <w:pPr>
      <w:ind w:left="1050"/>
    </w:pPr>
  </w:style>
  <w:style w:type="paragraph" w:styleId="TOC7">
    <w:name w:val="toc 7"/>
    <w:basedOn w:val="Normal"/>
    <w:next w:val="Normal"/>
    <w:autoRedefine/>
    <w:uiPriority w:val="49"/>
    <w:semiHidden/>
    <w:pPr>
      <w:ind w:left="1260"/>
    </w:pPr>
  </w:style>
  <w:style w:type="paragraph" w:styleId="TOC8">
    <w:name w:val="toc 8"/>
    <w:basedOn w:val="Normal"/>
    <w:next w:val="Normal"/>
    <w:autoRedefine/>
    <w:uiPriority w:val="49"/>
    <w:semiHidden/>
    <w:pPr>
      <w:ind w:left="1470"/>
    </w:pPr>
  </w:style>
  <w:style w:type="paragraph" w:styleId="TOC9">
    <w:name w:val="toc 9"/>
    <w:basedOn w:val="Normal"/>
    <w:next w:val="Normal"/>
    <w:autoRedefine/>
    <w:uiPriority w:val="49"/>
    <w:semiHidden/>
    <w:pPr>
      <w:ind w:left="1680"/>
    </w:pPr>
  </w:style>
  <w:style w:type="paragraph" w:customStyle="1" w:styleId="Centred">
    <w:name w:val="Centred"/>
    <w:basedOn w:val="Body"/>
    <w:next w:val="Body1"/>
    <w:uiPriority w:val="13"/>
    <w:pPr>
      <w:keepNext/>
      <w:jc w:val="center"/>
    </w:pPr>
  </w:style>
  <w:style w:type="paragraph" w:customStyle="1" w:styleId="Parties">
    <w:name w:val="Parties"/>
    <w:basedOn w:val="Body"/>
    <w:next w:val="Body2"/>
    <w:uiPriority w:val="9"/>
    <w:qFormat/>
    <w:pPr>
      <w:numPr>
        <w:numId w:val="3"/>
      </w:numPr>
    </w:pPr>
  </w:style>
  <w:style w:type="paragraph" w:customStyle="1" w:styleId="Recitals">
    <w:name w:val="Recitals"/>
    <w:basedOn w:val="Body"/>
    <w:next w:val="Body2"/>
    <w:uiPriority w:val="9"/>
    <w:qFormat/>
    <w:pPr>
      <w:numPr>
        <w:numId w:val="4"/>
      </w:numPr>
    </w:pPr>
  </w:style>
  <w:style w:type="paragraph" w:styleId="TOCHeading">
    <w:name w:val="TOC Heading"/>
    <w:basedOn w:val="Heading1"/>
    <w:next w:val="Normal"/>
    <w:uiPriority w:val="49"/>
    <w:semiHidden/>
    <w:rsid w:val="00AE6229"/>
    <w:pPr>
      <w:keepLines/>
      <w:tabs>
        <w:tab w:val="right" w:pos="9072"/>
      </w:tabs>
      <w:spacing w:after="240"/>
      <w:jc w:val="center"/>
      <w:outlineLvl w:val="9"/>
    </w:pPr>
    <w:rPr>
      <w:rFonts w:eastAsia="Times New Roman"/>
      <w:bCs/>
      <w:szCs w:val="28"/>
    </w:rPr>
  </w:style>
  <w:style w:type="character" w:customStyle="1" w:styleId="CommentTextChar">
    <w:name w:val="Comment Text Char"/>
    <w:basedOn w:val="DefaultParagraphFont"/>
    <w:link w:val="CommentText"/>
    <w:uiPriority w:val="17"/>
    <w:semiHidden/>
    <w:rsid w:val="00ED08A9"/>
    <w:rPr>
      <w:sz w:val="20"/>
    </w:rPr>
  </w:style>
  <w:style w:type="paragraph" w:customStyle="1" w:styleId="Address">
    <w:name w:val="Address"/>
    <w:basedOn w:val="Normal"/>
    <w:uiPriority w:val="17"/>
    <w:rsid w:val="00671861"/>
    <w:pPr>
      <w:jc w:val="center"/>
    </w:pPr>
    <w:rPr>
      <w:sz w:val="16"/>
      <w:szCs w:val="16"/>
      <w:lang w:eastAsia="en-US"/>
    </w:rPr>
  </w:style>
  <w:style w:type="paragraph" w:customStyle="1" w:styleId="NormalCentred">
    <w:name w:val="Normal Centred"/>
    <w:basedOn w:val="Normal"/>
    <w:uiPriority w:val="9"/>
    <w:rsid w:val="00671861"/>
    <w:pPr>
      <w:jc w:val="center"/>
    </w:pPr>
    <w:rPr>
      <w:szCs w:val="24"/>
      <w:lang w:eastAsia="en-US"/>
    </w:rPr>
  </w:style>
  <w:style w:type="character" w:customStyle="1" w:styleId="SmallCaps">
    <w:name w:val="SmallCaps"/>
    <w:basedOn w:val="DefaultParagraphFont"/>
    <w:uiPriority w:val="17"/>
    <w:semiHidden/>
    <w:rsid w:val="00671861"/>
    <w:rPr>
      <w:rFonts w:ascii="Arial" w:hAnsi="Arial"/>
      <w:smallCaps/>
      <w:sz w:val="21"/>
    </w:rPr>
  </w:style>
  <w:style w:type="paragraph" w:styleId="BalloonText">
    <w:name w:val="Balloon Text"/>
    <w:basedOn w:val="Normal"/>
    <w:link w:val="BalloonTextChar"/>
    <w:uiPriority w:val="17"/>
    <w:unhideWhenUsed/>
    <w:rsid w:val="006718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17"/>
    <w:rsid w:val="00ED08A9"/>
    <w:rPr>
      <w:rFonts w:ascii="Tahoma" w:hAnsi="Tahoma" w:cs="Tahoma"/>
      <w:sz w:val="16"/>
      <w:szCs w:val="16"/>
    </w:rPr>
  </w:style>
  <w:style w:type="character" w:customStyle="1" w:styleId="FooterChar">
    <w:name w:val="Footer Char"/>
    <w:basedOn w:val="DefaultParagraphFont"/>
    <w:link w:val="Footer"/>
    <w:uiPriority w:val="13"/>
    <w:rsid w:val="00ED08A9"/>
    <w:rPr>
      <w:sz w:val="16"/>
    </w:rPr>
  </w:style>
  <w:style w:type="character" w:customStyle="1" w:styleId="HeaderChar">
    <w:name w:val="Header Char"/>
    <w:basedOn w:val="DefaultParagraphFont"/>
    <w:link w:val="Header"/>
    <w:uiPriority w:val="13"/>
    <w:rsid w:val="00ED08A9"/>
  </w:style>
  <w:style w:type="character" w:styleId="PlaceholderText">
    <w:name w:val="Placeholder Text"/>
    <w:basedOn w:val="DefaultParagraphFont"/>
    <w:uiPriority w:val="99"/>
    <w:semiHidden/>
    <w:rsid w:val="004B05D7"/>
    <w:rPr>
      <w:color w:val="808080"/>
    </w:rPr>
  </w:style>
  <w:style w:type="paragraph" w:customStyle="1" w:styleId="CentredHeading">
    <w:name w:val="Centred Heading"/>
    <w:basedOn w:val="Body1"/>
    <w:next w:val="Body1"/>
    <w:uiPriority w:val="13"/>
    <w:qFormat/>
    <w:rsid w:val="000A7590"/>
    <w:pPr>
      <w:keepNext/>
      <w:jc w:val="center"/>
    </w:pPr>
    <w:rPr>
      <w:b/>
      <w:smallCaps/>
    </w:rPr>
  </w:style>
  <w:style w:type="paragraph" w:styleId="NormalWeb">
    <w:name w:val="Normal (Web)"/>
    <w:basedOn w:val="Normal"/>
    <w:uiPriority w:val="29"/>
    <w:rsid w:val="00F95754"/>
    <w:rPr>
      <w:szCs w:val="24"/>
    </w:rPr>
  </w:style>
  <w:style w:type="paragraph" w:styleId="Subtitle">
    <w:name w:val="Subtitle"/>
    <w:basedOn w:val="Body"/>
    <w:next w:val="Body1"/>
    <w:link w:val="SubtitleChar"/>
    <w:uiPriority w:val="18"/>
    <w:rsid w:val="00615756"/>
    <w:pPr>
      <w:numPr>
        <w:ilvl w:val="1"/>
      </w:numPr>
    </w:pPr>
    <w:rPr>
      <w:rFonts w:eastAsia="Times New Roman"/>
      <w:b/>
      <w:iCs/>
      <w:spacing w:val="15"/>
      <w:szCs w:val="24"/>
    </w:rPr>
  </w:style>
  <w:style w:type="character" w:customStyle="1" w:styleId="SubtitleChar">
    <w:name w:val="Subtitle Char"/>
    <w:basedOn w:val="DefaultParagraphFont"/>
    <w:link w:val="Subtitle"/>
    <w:uiPriority w:val="18"/>
    <w:rsid w:val="00ED08A9"/>
    <w:rPr>
      <w:rFonts w:ascii="Arial" w:eastAsia="Times New Roman" w:hAnsi="Arial" w:cs="Times New Roman"/>
      <w:b/>
      <w:iCs/>
      <w:spacing w:val="15"/>
      <w:szCs w:val="24"/>
    </w:rPr>
  </w:style>
  <w:style w:type="character" w:styleId="BookTitle">
    <w:name w:val="Book Title"/>
    <w:basedOn w:val="DefaultParagraphFont"/>
    <w:uiPriority w:val="43"/>
    <w:semiHidden/>
    <w:rsid w:val="00D25E01"/>
    <w:rPr>
      <w:b/>
      <w:bCs/>
      <w:smallCaps/>
      <w:spacing w:val="5"/>
    </w:rPr>
  </w:style>
  <w:style w:type="paragraph" w:styleId="Quote">
    <w:name w:val="Quote"/>
    <w:basedOn w:val="Normal"/>
    <w:next w:val="Normal"/>
    <w:link w:val="QuoteChar"/>
    <w:uiPriority w:val="39"/>
    <w:semiHidden/>
    <w:rsid w:val="00D25E01"/>
    <w:rPr>
      <w:i/>
      <w:iCs/>
      <w:color w:val="4D5357" w:themeColor="text1"/>
    </w:rPr>
  </w:style>
  <w:style w:type="character" w:customStyle="1" w:styleId="QuoteChar">
    <w:name w:val="Quote Char"/>
    <w:basedOn w:val="DefaultParagraphFont"/>
    <w:link w:val="Quote"/>
    <w:uiPriority w:val="39"/>
    <w:semiHidden/>
    <w:rsid w:val="00ED08A9"/>
    <w:rPr>
      <w:i/>
      <w:iCs/>
      <w:color w:val="4D5357" w:themeColor="text1"/>
    </w:rPr>
  </w:style>
  <w:style w:type="paragraph" w:styleId="ListParagraph">
    <w:name w:val="List Paragraph"/>
    <w:basedOn w:val="Normal"/>
    <w:uiPriority w:val="44"/>
    <w:rsid w:val="00D25E01"/>
    <w:pPr>
      <w:ind w:left="720"/>
      <w:contextualSpacing/>
    </w:pPr>
  </w:style>
  <w:style w:type="paragraph" w:styleId="Title">
    <w:name w:val="Title"/>
    <w:basedOn w:val="Body"/>
    <w:next w:val="Body1"/>
    <w:link w:val="TitleChar"/>
    <w:uiPriority w:val="18"/>
    <w:rsid w:val="00615756"/>
    <w:rPr>
      <w:rFonts w:eastAsia="Times New Roman"/>
      <w:b/>
      <w:smallCaps/>
      <w:spacing w:val="5"/>
      <w:kern w:val="28"/>
      <w:szCs w:val="52"/>
    </w:rPr>
  </w:style>
  <w:style w:type="character" w:customStyle="1" w:styleId="TitleChar">
    <w:name w:val="Title Char"/>
    <w:basedOn w:val="DefaultParagraphFont"/>
    <w:link w:val="Title"/>
    <w:uiPriority w:val="18"/>
    <w:rsid w:val="00ED08A9"/>
    <w:rPr>
      <w:rFonts w:eastAsia="Times New Roman" w:cs="Times New Roman"/>
      <w:b/>
      <w:smallCaps/>
      <w:spacing w:val="5"/>
      <w:kern w:val="28"/>
      <w:szCs w:val="52"/>
    </w:rPr>
  </w:style>
  <w:style w:type="paragraph" w:styleId="NoSpacing">
    <w:name w:val="No Spacing"/>
    <w:uiPriority w:val="29"/>
    <w:rsid w:val="007F7F66"/>
    <w:pPr>
      <w:spacing w:line="240" w:lineRule="auto"/>
    </w:pPr>
  </w:style>
  <w:style w:type="paragraph" w:customStyle="1" w:styleId="SchTitle">
    <w:name w:val="Sch  Title"/>
    <w:basedOn w:val="SchSubtitle"/>
    <w:next w:val="SchSubtitle"/>
    <w:uiPriority w:val="10"/>
    <w:qFormat/>
    <w:rsid w:val="00BE7F58"/>
    <w:pPr>
      <w:numPr>
        <w:ilvl w:val="0"/>
      </w:numPr>
    </w:pPr>
    <w:rPr>
      <w:smallCaps/>
    </w:rPr>
  </w:style>
  <w:style w:type="paragraph" w:customStyle="1" w:styleId="SchSubtitle">
    <w:name w:val="Sch  Subtitle"/>
    <w:basedOn w:val="Body"/>
    <w:next w:val="Body2"/>
    <w:uiPriority w:val="11"/>
    <w:qFormat/>
    <w:rsid w:val="00BE7F58"/>
    <w:pPr>
      <w:keepNext/>
      <w:numPr>
        <w:ilvl w:val="1"/>
        <w:numId w:val="5"/>
      </w:numPr>
      <w:jc w:val="center"/>
    </w:pPr>
    <w:rPr>
      <w:b/>
    </w:rPr>
  </w:style>
  <w:style w:type="paragraph" w:customStyle="1" w:styleId="SchNumber1">
    <w:name w:val="Sch Number 1"/>
    <w:basedOn w:val="Level1"/>
    <w:next w:val="Body2"/>
    <w:link w:val="SchNumber1Char"/>
    <w:uiPriority w:val="12"/>
    <w:qFormat/>
    <w:rsid w:val="00FC3332"/>
    <w:pPr>
      <w:numPr>
        <w:ilvl w:val="2"/>
        <w:numId w:val="5"/>
      </w:numPr>
    </w:pPr>
  </w:style>
  <w:style w:type="paragraph" w:customStyle="1" w:styleId="SchNumber2">
    <w:name w:val="Sch Number 2"/>
    <w:basedOn w:val="Level2"/>
    <w:next w:val="Body2"/>
    <w:link w:val="SchNumber2Char"/>
    <w:uiPriority w:val="12"/>
    <w:qFormat/>
    <w:rsid w:val="00FC3332"/>
    <w:pPr>
      <w:numPr>
        <w:ilvl w:val="3"/>
        <w:numId w:val="5"/>
      </w:numPr>
    </w:pPr>
  </w:style>
  <w:style w:type="paragraph" w:customStyle="1" w:styleId="SchNumber3">
    <w:name w:val="Sch Number 3"/>
    <w:basedOn w:val="Level3"/>
    <w:next w:val="Body2"/>
    <w:link w:val="SchNumber3Char"/>
    <w:uiPriority w:val="12"/>
    <w:qFormat/>
    <w:rsid w:val="00FC3332"/>
    <w:pPr>
      <w:numPr>
        <w:ilvl w:val="4"/>
        <w:numId w:val="5"/>
      </w:numPr>
    </w:pPr>
  </w:style>
  <w:style w:type="paragraph" w:customStyle="1" w:styleId="SchNumber4">
    <w:name w:val="Sch Number 4"/>
    <w:basedOn w:val="Level4"/>
    <w:next w:val="Body4"/>
    <w:link w:val="SchNumber4Char"/>
    <w:uiPriority w:val="12"/>
    <w:qFormat/>
    <w:rsid w:val="00FC3332"/>
    <w:pPr>
      <w:numPr>
        <w:ilvl w:val="5"/>
        <w:numId w:val="5"/>
      </w:numPr>
    </w:pPr>
  </w:style>
  <w:style w:type="paragraph" w:customStyle="1" w:styleId="SchNumber5">
    <w:name w:val="Sch Number 5"/>
    <w:basedOn w:val="Level5"/>
    <w:next w:val="Body5"/>
    <w:link w:val="SchNumber5Char"/>
    <w:uiPriority w:val="12"/>
    <w:qFormat/>
    <w:rsid w:val="00FC3332"/>
    <w:pPr>
      <w:numPr>
        <w:ilvl w:val="6"/>
        <w:numId w:val="5"/>
      </w:numPr>
    </w:pPr>
  </w:style>
  <w:style w:type="paragraph" w:customStyle="1" w:styleId="SchHeading1">
    <w:name w:val="Sch Heading 1"/>
    <w:basedOn w:val="SchNumber1"/>
    <w:next w:val="Body2"/>
    <w:link w:val="SchHeading1Char"/>
    <w:uiPriority w:val="12"/>
    <w:qFormat/>
    <w:rsid w:val="00FC3332"/>
    <w:rPr>
      <w:b/>
      <w:smallCaps/>
    </w:rPr>
  </w:style>
  <w:style w:type="paragraph" w:customStyle="1" w:styleId="SchHeading2">
    <w:name w:val="Sch Heading 2"/>
    <w:basedOn w:val="SchNumber2"/>
    <w:next w:val="Body2"/>
    <w:link w:val="SchHeading2Char"/>
    <w:uiPriority w:val="12"/>
    <w:qFormat/>
    <w:rsid w:val="00FC3332"/>
    <w:rPr>
      <w:b/>
    </w:rPr>
  </w:style>
  <w:style w:type="paragraph" w:customStyle="1" w:styleId="Heading1Restart">
    <w:name w:val="Heading 1 Restart"/>
    <w:basedOn w:val="Heading1"/>
    <w:next w:val="Body2"/>
    <w:link w:val="Heading1RestartChar"/>
    <w:uiPriority w:val="13"/>
    <w:semiHidden/>
    <w:rsid w:val="000D77B5"/>
    <w:pPr>
      <w:numPr>
        <w:numId w:val="0"/>
      </w:numPr>
      <w:tabs>
        <w:tab w:val="left" w:pos="709"/>
      </w:tabs>
      <w:ind w:left="709" w:hanging="709"/>
    </w:pPr>
  </w:style>
  <w:style w:type="character" w:customStyle="1" w:styleId="Heading1RestartChar">
    <w:name w:val="Heading 1 Restart Char"/>
    <w:link w:val="Heading1Restart"/>
    <w:uiPriority w:val="13"/>
    <w:semiHidden/>
    <w:rsid w:val="00ED08A9"/>
    <w:rPr>
      <w:rFonts w:eastAsia="Arial Unicode MS"/>
      <w:b/>
      <w:smallCaps/>
    </w:rPr>
  </w:style>
  <w:style w:type="paragraph" w:customStyle="1" w:styleId="Heading2Restart">
    <w:name w:val="Heading 2 Restart"/>
    <w:basedOn w:val="Heading2"/>
    <w:next w:val="Body2"/>
    <w:link w:val="Heading2RestartChar"/>
    <w:uiPriority w:val="13"/>
    <w:semiHidden/>
    <w:rsid w:val="000D77B5"/>
    <w:pPr>
      <w:numPr>
        <w:ilvl w:val="0"/>
        <w:numId w:val="0"/>
      </w:numPr>
      <w:tabs>
        <w:tab w:val="left" w:pos="709"/>
      </w:tabs>
      <w:ind w:left="709" w:hanging="709"/>
    </w:pPr>
  </w:style>
  <w:style w:type="paragraph" w:customStyle="1" w:styleId="Heading3Restart">
    <w:name w:val="Heading 3 Restart"/>
    <w:basedOn w:val="Heading3"/>
    <w:next w:val="Body3"/>
    <w:link w:val="Heading3RestartChar"/>
    <w:uiPriority w:val="13"/>
    <w:semiHidden/>
    <w:qFormat/>
    <w:rsid w:val="000D77B5"/>
    <w:pPr>
      <w:numPr>
        <w:ilvl w:val="0"/>
        <w:numId w:val="0"/>
      </w:numPr>
      <w:ind w:left="1418" w:hanging="709"/>
    </w:pPr>
  </w:style>
  <w:style w:type="character" w:customStyle="1" w:styleId="Heading3RestartChar">
    <w:name w:val="Heading 3 Restart Char"/>
    <w:link w:val="Heading3Restart"/>
    <w:uiPriority w:val="13"/>
    <w:semiHidden/>
    <w:rsid w:val="00ED08A9"/>
    <w:rPr>
      <w:rFonts w:eastAsia="Arial Unicode MS"/>
      <w:b/>
    </w:rPr>
  </w:style>
  <w:style w:type="character" w:customStyle="1" w:styleId="BodyChar">
    <w:name w:val="Body Char"/>
    <w:basedOn w:val="DefaultParagraphFont"/>
    <w:link w:val="Body"/>
    <w:uiPriority w:val="17"/>
    <w:semiHidden/>
    <w:rsid w:val="00ED08A9"/>
  </w:style>
  <w:style w:type="character" w:customStyle="1" w:styleId="Body1Char">
    <w:name w:val="Body 1 Char"/>
    <w:basedOn w:val="BodyChar"/>
    <w:link w:val="Body1"/>
    <w:rsid w:val="000D77B5"/>
  </w:style>
  <w:style w:type="character" w:customStyle="1" w:styleId="Body2Char">
    <w:name w:val="Body 2 Char"/>
    <w:basedOn w:val="Body1Char"/>
    <w:link w:val="Body2"/>
    <w:rsid w:val="000D77B5"/>
  </w:style>
  <w:style w:type="character" w:customStyle="1" w:styleId="Level2Char">
    <w:name w:val="Level 2 Char"/>
    <w:basedOn w:val="Body2Char"/>
    <w:link w:val="Level2"/>
    <w:uiPriority w:val="6"/>
    <w:rsid w:val="00ED08A9"/>
  </w:style>
  <w:style w:type="character" w:customStyle="1" w:styleId="Heading2Char">
    <w:name w:val="Heading 2 Char"/>
    <w:basedOn w:val="Level2Char"/>
    <w:link w:val="Heading2"/>
    <w:uiPriority w:val="4"/>
    <w:rsid w:val="00ED08A9"/>
    <w:rPr>
      <w:b/>
    </w:rPr>
  </w:style>
  <w:style w:type="character" w:customStyle="1" w:styleId="Heading2RestartChar">
    <w:name w:val="Heading 2 Restart Char"/>
    <w:basedOn w:val="Heading2Char"/>
    <w:link w:val="Heading2Restart"/>
    <w:uiPriority w:val="13"/>
    <w:semiHidden/>
    <w:rsid w:val="00ED08A9"/>
    <w:rPr>
      <w:rFonts w:eastAsia="Arial Unicode MS"/>
      <w:b/>
    </w:rPr>
  </w:style>
  <w:style w:type="numbering" w:customStyle="1" w:styleId="SchCustomList">
    <w:name w:val="Sch Custom List"/>
    <w:basedOn w:val="NoList"/>
    <w:uiPriority w:val="99"/>
    <w:rsid w:val="00FC3332"/>
    <w:pPr>
      <w:numPr>
        <w:numId w:val="5"/>
      </w:numPr>
    </w:pPr>
  </w:style>
  <w:style w:type="character" w:customStyle="1" w:styleId="Body3Char">
    <w:name w:val="Body 3 Char"/>
    <w:basedOn w:val="Body2Char"/>
    <w:link w:val="Body3"/>
    <w:rsid w:val="00C10D16"/>
  </w:style>
  <w:style w:type="character" w:customStyle="1" w:styleId="Body4Char">
    <w:name w:val="Body 4 Char"/>
    <w:basedOn w:val="Body3Char"/>
    <w:link w:val="Body4"/>
    <w:rsid w:val="00C10D16"/>
  </w:style>
  <w:style w:type="character" w:customStyle="1" w:styleId="Body5Char">
    <w:name w:val="Body 5 Char"/>
    <w:basedOn w:val="Body4Char"/>
    <w:link w:val="Body5"/>
    <w:rsid w:val="00C10D16"/>
  </w:style>
  <w:style w:type="character" w:customStyle="1" w:styleId="Level1Char">
    <w:name w:val="Level 1 Char"/>
    <w:basedOn w:val="Body1Char"/>
    <w:link w:val="Level1"/>
    <w:uiPriority w:val="6"/>
    <w:rsid w:val="00ED08A9"/>
  </w:style>
  <w:style w:type="character" w:customStyle="1" w:styleId="Heading1Char">
    <w:name w:val="Heading 1 Char"/>
    <w:basedOn w:val="Level1Char"/>
    <w:link w:val="Heading1"/>
    <w:uiPriority w:val="4"/>
    <w:rsid w:val="00ED08A9"/>
    <w:rPr>
      <w:b/>
      <w:smallCaps/>
    </w:rPr>
  </w:style>
  <w:style w:type="character" w:customStyle="1" w:styleId="Level3Char">
    <w:name w:val="Level 3 Char"/>
    <w:basedOn w:val="Body3Char"/>
    <w:link w:val="Level3"/>
    <w:uiPriority w:val="6"/>
    <w:rsid w:val="00ED08A9"/>
  </w:style>
  <w:style w:type="character" w:customStyle="1" w:styleId="Heading3Char">
    <w:name w:val="Heading 3 Char"/>
    <w:basedOn w:val="Level3Char"/>
    <w:link w:val="Heading3"/>
    <w:uiPriority w:val="4"/>
    <w:rsid w:val="00ED08A9"/>
    <w:rPr>
      <w:b/>
    </w:rPr>
  </w:style>
  <w:style w:type="character" w:customStyle="1" w:styleId="Level4Char">
    <w:name w:val="Level 4 Char"/>
    <w:basedOn w:val="Body4Char"/>
    <w:link w:val="Level4"/>
    <w:uiPriority w:val="6"/>
    <w:rsid w:val="00ED08A9"/>
  </w:style>
  <w:style w:type="character" w:customStyle="1" w:styleId="Heading4Char">
    <w:name w:val="Heading 4 Char"/>
    <w:basedOn w:val="Level4Char"/>
    <w:link w:val="Heading4"/>
    <w:uiPriority w:val="5"/>
    <w:semiHidden/>
    <w:rsid w:val="00ED08A9"/>
    <w:rPr>
      <w:rFonts w:ascii="Arial" w:hAnsi="Arial"/>
      <w:b/>
    </w:rPr>
  </w:style>
  <w:style w:type="character" w:customStyle="1" w:styleId="Heading5Char">
    <w:name w:val="Heading 5 Char"/>
    <w:basedOn w:val="DefaultParagraphFont"/>
    <w:link w:val="Heading5"/>
    <w:uiPriority w:val="5"/>
    <w:semiHidden/>
    <w:rsid w:val="00ED08A9"/>
    <w:rPr>
      <w:sz w:val="22"/>
    </w:rPr>
  </w:style>
  <w:style w:type="character" w:customStyle="1" w:styleId="Level5Char">
    <w:name w:val="Level 5 Char"/>
    <w:basedOn w:val="Body5Char"/>
    <w:link w:val="Level5"/>
    <w:uiPriority w:val="6"/>
    <w:rsid w:val="00ED08A9"/>
  </w:style>
  <w:style w:type="character" w:customStyle="1" w:styleId="SchNumber1Char">
    <w:name w:val="Sch Number 1 Char"/>
    <w:basedOn w:val="Level1Char"/>
    <w:link w:val="SchNumber1"/>
    <w:uiPriority w:val="12"/>
    <w:rsid w:val="00ED08A9"/>
    <w:rPr>
      <w:rFonts w:eastAsia="Arial Unicode MS"/>
    </w:rPr>
  </w:style>
  <w:style w:type="character" w:customStyle="1" w:styleId="SchHeading1Char">
    <w:name w:val="Sch Heading 1 Char"/>
    <w:basedOn w:val="SchNumber1Char"/>
    <w:link w:val="SchHeading1"/>
    <w:uiPriority w:val="12"/>
    <w:rsid w:val="00ED08A9"/>
    <w:rPr>
      <w:rFonts w:eastAsia="Arial Unicode MS"/>
      <w:b/>
      <w:smallCaps/>
    </w:rPr>
  </w:style>
  <w:style w:type="character" w:customStyle="1" w:styleId="SchNumber2Char">
    <w:name w:val="Sch Number 2 Char"/>
    <w:basedOn w:val="Level2Char"/>
    <w:link w:val="SchNumber2"/>
    <w:uiPriority w:val="12"/>
    <w:rsid w:val="00ED08A9"/>
    <w:rPr>
      <w:rFonts w:eastAsia="Arial Unicode MS"/>
    </w:rPr>
  </w:style>
  <w:style w:type="character" w:customStyle="1" w:styleId="SchHeading2Char">
    <w:name w:val="Sch Heading 2 Char"/>
    <w:basedOn w:val="SchNumber2Char"/>
    <w:link w:val="SchHeading2"/>
    <w:uiPriority w:val="12"/>
    <w:rsid w:val="00ED08A9"/>
    <w:rPr>
      <w:rFonts w:eastAsia="Arial Unicode MS"/>
      <w:b/>
    </w:rPr>
  </w:style>
  <w:style w:type="character" w:customStyle="1" w:styleId="SchNumber3Char">
    <w:name w:val="Sch Number 3 Char"/>
    <w:basedOn w:val="Level3Char"/>
    <w:link w:val="SchNumber3"/>
    <w:uiPriority w:val="12"/>
    <w:rsid w:val="00ED08A9"/>
    <w:rPr>
      <w:rFonts w:eastAsia="Arial Unicode MS"/>
    </w:rPr>
  </w:style>
  <w:style w:type="character" w:customStyle="1" w:styleId="SchNumber4Char">
    <w:name w:val="Sch Number 4 Char"/>
    <w:basedOn w:val="Level4Char"/>
    <w:link w:val="SchNumber4"/>
    <w:uiPriority w:val="12"/>
    <w:rsid w:val="00ED08A9"/>
    <w:rPr>
      <w:rFonts w:eastAsia="Arial Unicode MS"/>
    </w:rPr>
  </w:style>
  <w:style w:type="character" w:customStyle="1" w:styleId="SchNumber5Char">
    <w:name w:val="Sch Number 5 Char"/>
    <w:basedOn w:val="Level5Char"/>
    <w:link w:val="SchNumber5"/>
    <w:uiPriority w:val="12"/>
    <w:rsid w:val="00ED08A9"/>
    <w:rPr>
      <w:rFonts w:eastAsia="Arial Unicode MS"/>
    </w:rPr>
  </w:style>
  <w:style w:type="paragraph" w:customStyle="1" w:styleId="SchHeading3">
    <w:name w:val="Sch Heading 3"/>
    <w:basedOn w:val="SchNumber3"/>
    <w:next w:val="Body3"/>
    <w:link w:val="SchHeading3Char"/>
    <w:uiPriority w:val="12"/>
    <w:qFormat/>
    <w:rsid w:val="0004544B"/>
    <w:rPr>
      <w:b/>
    </w:rPr>
  </w:style>
  <w:style w:type="character" w:customStyle="1" w:styleId="SchHeading3Char">
    <w:name w:val="Sch Heading 3 Char"/>
    <w:basedOn w:val="SchNumber3Char"/>
    <w:link w:val="SchHeading3"/>
    <w:uiPriority w:val="12"/>
    <w:rsid w:val="0004544B"/>
    <w:rPr>
      <w:rFonts w:eastAsia="Arial Unicode MS"/>
      <w:b/>
    </w:rPr>
  </w:style>
  <w:style w:type="paragraph" w:customStyle="1" w:styleId="Parts">
    <w:name w:val="Parts"/>
    <w:basedOn w:val="Body1"/>
    <w:next w:val="Body1"/>
    <w:uiPriority w:val="12"/>
    <w:qFormat/>
    <w:rsid w:val="00563D29"/>
    <w:pPr>
      <w:jc w:val="center"/>
    </w:pPr>
    <w:rPr>
      <w:b/>
    </w:rPr>
  </w:style>
  <w:style w:type="paragraph" w:styleId="List4">
    <w:name w:val="List 4"/>
    <w:basedOn w:val="Normal"/>
    <w:uiPriority w:val="29"/>
    <w:rsid w:val="00F95754"/>
    <w:pPr>
      <w:ind w:left="1132" w:hanging="283"/>
      <w:contextualSpacing/>
    </w:pPr>
  </w:style>
  <w:style w:type="paragraph" w:customStyle="1" w:styleId="Address2">
    <w:name w:val="Address 2"/>
    <w:basedOn w:val="Normal"/>
    <w:uiPriority w:val="17"/>
    <w:rsid w:val="00D67411"/>
    <w:rPr>
      <w:rFonts w:eastAsia="Times New Roman"/>
      <w:sz w:val="14"/>
    </w:rPr>
  </w:style>
  <w:style w:type="paragraph" w:customStyle="1" w:styleId="address3">
    <w:name w:val="address 3"/>
    <w:basedOn w:val="Address2"/>
    <w:uiPriority w:val="17"/>
    <w:rsid w:val="00D67411"/>
    <w:pPr>
      <w:spacing w:after="120" w:line="240" w:lineRule="auto"/>
    </w:pPr>
    <w:rPr>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ustom\templates\Memorandum.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1D4CD2784134FAB9AB86CDB545C5A7E"/>
        <w:category>
          <w:name w:val="General"/>
          <w:gallery w:val="placeholder"/>
        </w:category>
        <w:types>
          <w:type w:val="bbPlcHdr"/>
        </w:types>
        <w:behaviors>
          <w:behavior w:val="content"/>
        </w:behaviors>
        <w:guid w:val="{9721F33C-3FAC-492A-B852-482B0FA6B613}"/>
      </w:docPartPr>
      <w:docPartBody>
        <w:p w:rsidR="00D033CF" w:rsidRDefault="00D033CF"/>
      </w:docPartBody>
    </w:docPart>
    <w:docPart>
      <w:docPartPr>
        <w:name w:val="58838664471346F7923AD9BFE1292E33"/>
        <w:category>
          <w:name w:val="General"/>
          <w:gallery w:val="placeholder"/>
        </w:category>
        <w:types>
          <w:type w:val="bbPlcHdr"/>
        </w:types>
        <w:behaviors>
          <w:behavior w:val="content"/>
        </w:behaviors>
        <w:guid w:val="{75A8984E-C9E0-48B9-8451-C9AF303E6C93}"/>
      </w:docPartPr>
      <w:docPartBody>
        <w:p w:rsidR="00D033CF" w:rsidRDefault="00D033C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A69"/>
    <w:rsid w:val="00361A69"/>
    <w:rsid w:val="00D03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1A69"/>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1A6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Hogan Lovells">
  <a:themeElements>
    <a:clrScheme name="HL_Colours">
      <a:dk1>
        <a:srgbClr val="4D5357"/>
      </a:dk1>
      <a:lt1>
        <a:srgbClr val="FFFFFF"/>
      </a:lt1>
      <a:dk2>
        <a:srgbClr val="2C5E4F"/>
      </a:dk2>
      <a:lt2>
        <a:srgbClr val="BED600"/>
      </a:lt2>
      <a:accent1>
        <a:srgbClr val="557630"/>
      </a:accent1>
      <a:accent2>
        <a:srgbClr val="AAA38E"/>
      </a:accent2>
      <a:accent3>
        <a:srgbClr val="4B2942"/>
      </a:accent3>
      <a:accent4>
        <a:srgbClr val="5482AB"/>
      </a:accent4>
      <a:accent5>
        <a:srgbClr val="BEC5C2"/>
      </a:accent5>
      <a:accent6>
        <a:srgbClr val="58A618"/>
      </a:accent6>
      <a:hlink>
        <a:srgbClr val="C50084"/>
      </a:hlink>
      <a:folHlink>
        <a:srgbClr val="FFA100"/>
      </a:folHlink>
    </a:clrScheme>
    <a:fontScheme name="HL_Theme">
      <a:majorFont>
        <a:latin typeface="Calibri"/>
        <a:ea typeface="Arial"/>
        <a:cs typeface="Arial"/>
      </a:majorFont>
      <a:minorFont>
        <a:latin typeface="Georgia"/>
        <a:ea typeface="Georgia"/>
        <a:cs typeface="Georgia"/>
      </a:minorFont>
    </a:fontScheme>
    <a:fmtScheme name="New Theme">
      <a:fillStyleLst>
        <a:solidFill>
          <a:schemeClr val="phClr"/>
        </a:solidFill>
        <a:gradFill rotWithShape="1">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gradFill>
        <a:gradFill rotWithShape="1">
          <a:gsLst>
            <a:gs pos="0">
              <a:schemeClr val="phClr">
                <a:tint val="80000"/>
              </a:schemeClr>
            </a:gs>
            <a:gs pos="100000">
              <a:schemeClr val="phClr">
                <a:shade val="30000"/>
              </a:schemeClr>
            </a:gs>
          </a:gsLst>
          <a:path path="circle">
            <a:fillToRect l="50000" t="50000" r="50000" b="50000"/>
          </a:path>
        </a:gradFill>
      </a:fillStyleLst>
      <a:lnStyleLst>
        <a:ln w="12700" cap="rnd" cmpd="sng" algn="ctr">
          <a:solidFill>
            <a:schemeClr val="phClr"/>
          </a:solidFill>
          <a:prstDash val="solid"/>
        </a:ln>
        <a:ln w="12700" cap="rnd" cmpd="sng" algn="ctr">
          <a:solidFill>
            <a:schemeClr val="phClr"/>
          </a:solidFill>
          <a:prstDash val="solid"/>
        </a:ln>
        <a:ln w="12700" cap="rnd" cmpd="sng" algn="ctr">
          <a:solidFill>
            <a:schemeClr val="phClr"/>
          </a:solidFill>
          <a:prstDash val="solid"/>
        </a:ln>
      </a:lnStyleLst>
      <a:effectStyleLst>
        <a:effectStyle>
          <a:effectLst/>
          <a:scene3d>
            <a:camera prst="orthographicFront" fov="0">
              <a:rot lat="0" lon="0" rev="0"/>
            </a:camera>
            <a:lightRig rig="threePt" dir="tl"/>
          </a:scene3d>
          <a:sp3d>
            <a:bevelT w="0" h="0"/>
          </a:sp3d>
        </a:effectStyle>
        <a:effectStyle>
          <a:effectLst/>
          <a:scene3d>
            <a:camera prst="orthographicFront" fov="0">
              <a:rot lat="0" lon="0" rev="0"/>
            </a:camera>
            <a:lightRig rig="threePt" dir="tl"/>
          </a:scene3d>
          <a:sp3d>
            <a:bevelT w="0" h="0"/>
          </a:sp3d>
        </a:effectStyle>
        <a:effectStyle>
          <a:effectLst/>
          <a:scene3d>
            <a:camera prst="orthographicFront" fov="0">
              <a:rot lat="0" lon="0" rev="0"/>
            </a:camera>
            <a:lightRig rig="threePt" dir="tl"/>
          </a:scene3d>
          <a:sp3d>
            <a:bevelT w="0" h="0"/>
          </a:sp3d>
        </a:effectStyle>
      </a:effectStyleLst>
      <a:bgFillStyleLst>
        <a:solidFill>
          <a:schemeClr val="phClr"/>
        </a:solidFill>
        <a:gradFill rotWithShape="1">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gradFill>
        <a:gradFill rotWithShape="1">
          <a:gsLst>
            <a:gs pos="0">
              <a:schemeClr val="phClr">
                <a:tint val="80000"/>
              </a:schemeClr>
            </a:gs>
            <a:gs pos="100000">
              <a:schemeClr val="phClr">
                <a:shade val="30000"/>
              </a:schemeClr>
            </a:gs>
          </a:gsLst>
          <a:path path="circle">
            <a:fillToRect l="50000" t="50000" r="50000" b="50000"/>
          </a:path>
        </a:gradFill>
      </a:bgFillStyleLst>
    </a:fmtScheme>
  </a:themeElements>
  <a:objectDefaults>
    <a:spDef>
      <a:spPr>
        <a:solidFill>
          <a:schemeClr val="tx1"/>
        </a:solidFill>
        <a:ln>
          <a:noFill/>
        </a:ln>
        <a:effectLst/>
      </a:spPr>
      <a:bodyPr rtlCol="0" anchor="ctr"/>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document xmlns="http://hoganlovells.com/word2010/custom">
  <fields>
    <field id="Author" dmfield="AUTHOR_ID" type="string"/>
    <field id="AuthorName" dmfield="" type="string"/>
    <field id="ClientNumber" dmfield="CLIENT_ID" type="string"/>
    <field id="MatterNumber" dmfield="MATTER_ID" type="string"/>
    <field id="DocumentType" dmfield="TYPE_ID" type="string">MEMO</field>
    <field id="DocumentTitle" dmfield="DOCNAME" type="string">Mesures financières de soutien aux entreprises face à la crise du Covid-19</field>
    <field id="DocumentNumber" dmfield="DOCNUM" type="string"/>
    <field id="Library" dmfield="" type="string"/>
    <field id="Version" dmfield="" type="string"/>
    <field id="Language" dmfield="" type="string">French</field>
    <field id="Office" dmfield="" type="string">Paris</field>
    <field id="PaperTypeFirst" dmfield="" type="string"/>
    <field id="PaperTypeCont" dmfield="" type="string"/>
    <field id="ExcludeFooterUpdate" dmfield="" type="string">False</field>
    <field id="FirmName" dmfield="" type="">Hogan Lovells</field>
    <field id="FirstPageHeaded" dmfield="" type="">False</field>
    <field id="ContPage" dmfield="" type="">False</field>
    <field id="DraftSpacing" dmfield="" type="">False</field>
    <field id="RecipientName" dmfield="" type="">Paris Partners</field>
    <field id="Date" dmfield="" type="">Le 17 mars 2020</field>
  </fields>
</custom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DC8F4-51E0-46B1-B812-83BE72C1C2D8}">
  <ds:schemaRefs>
    <ds:schemaRef ds:uri="http://hoganlovells.com/word2010/custom"/>
  </ds:schemaRefs>
</ds:datastoreItem>
</file>

<file path=customXml/itemProps2.xml><?xml version="1.0" encoding="utf-8"?>
<ds:datastoreItem xmlns:ds="http://schemas.openxmlformats.org/officeDocument/2006/customXml" ds:itemID="{542C8A8E-DBAE-4568-A2EC-3E4F744AC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0</TotalTime>
  <Pages>6</Pages>
  <Words>2356</Words>
  <Characters>13430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2020-03-17T18:51:00Z</dcterms:created>
  <dcterms:modified xsi:type="dcterms:W3CDTF">2020-03-17T20:32:00Z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
    <vt:lpwstr>Internal</vt:lpwstr>
  </property>
  <property fmtid="{D5CDD505-2E9C-101B-9397-08002B2CF9AE}" pid="3" name="Language">
    <vt:lpwstr>French</vt:lpwstr>
  </property>
  <property fmtid="{D5CDD505-2E9C-101B-9397-08002B2CF9AE}" pid="4" name="LawyerText">
    <vt:bool>false</vt:bool>
  </property>
  <property fmtid="{D5CDD505-2E9C-101B-9397-08002B2CF9AE}" pid="5" name="eDOCS AutoSave">
    <vt:lpwstr>20200317212820850</vt:lpwstr>
  </property>
</Properties>
</file>