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5988"/>
        <w:gridCol w:w="3334"/>
      </w:tblGrid>
      <w:tr w:rsidR="00241A24" w:rsidRPr="003B6F0E">
        <w:trPr>
          <w:trHeight w:val="1531"/>
        </w:trPr>
        <w:tc>
          <w:tcPr>
            <w:tcW w:w="5988" w:type="dxa"/>
          </w:tcPr>
          <w:p w:rsidR="00241A24" w:rsidRPr="003B6F0E" w:rsidRDefault="003B6F0E" w:rsidP="00EB64BC">
            <w:pPr>
              <w:spacing w:before="20" w:line="240" w:lineRule="auto"/>
              <w:jc w:val="left"/>
              <w:rPr>
                <w:sz w:val="28"/>
                <w:szCs w:val="28"/>
              </w:rPr>
            </w:pPr>
            <w:r w:rsidRPr="003B6F0E">
              <w:rPr>
                <w:noProof/>
                <w:sz w:val="28"/>
                <w:szCs w:val="28"/>
              </w:rPr>
              <w:drawing>
                <wp:anchor distT="0" distB="0" distL="114300" distR="114300" simplePos="0" relativeHeight="251659264" behindDoc="0" locked="0" layoutInCell="1" allowOverlap="1" wp14:anchorId="13D24339" wp14:editId="0469AD3D">
                  <wp:simplePos x="0" y="0"/>
                  <wp:positionH relativeFrom="column">
                    <wp:posOffset>0</wp:posOffset>
                  </wp:positionH>
                  <wp:positionV relativeFrom="paragraph">
                    <wp:posOffset>0</wp:posOffset>
                  </wp:positionV>
                  <wp:extent cx="903600" cy="903600"/>
                  <wp:effectExtent l="0" t="0" r="0" b="0"/>
                  <wp:wrapNone/>
                  <wp:docPr id="14" name="Picture 14" descr="HL_Mono_200dpi_2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_Mono_200dpi_28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34" w:type="dxa"/>
            <w:vAlign w:val="bottom"/>
          </w:tcPr>
          <w:p w:rsidR="00241A24" w:rsidRPr="003B6F0E" w:rsidRDefault="00AD194D">
            <w:pPr>
              <w:jc w:val="left"/>
              <w:rPr>
                <w:b/>
                <w:smallCaps/>
                <w:sz w:val="28"/>
                <w:szCs w:val="28"/>
              </w:rPr>
            </w:pPr>
            <w:r w:rsidRPr="003B6F0E">
              <w:rPr>
                <w:b/>
                <w:smallCaps/>
                <w:sz w:val="28"/>
                <w:szCs w:val="28"/>
              </w:rPr>
              <w:t>Mémorandum</w:t>
            </w:r>
          </w:p>
          <w:p w:rsidR="00241A24" w:rsidRPr="003B6F0E" w:rsidRDefault="00241A24">
            <w:pPr>
              <w:pStyle w:val="Address"/>
              <w:tabs>
                <w:tab w:val="right" w:pos="2835"/>
              </w:tabs>
              <w:jc w:val="left"/>
            </w:pPr>
          </w:p>
        </w:tc>
      </w:tr>
    </w:tbl>
    <w:p w:rsidR="00241A24" w:rsidRPr="003B6F0E" w:rsidRDefault="00241A24">
      <w:pPr>
        <w:jc w:val="left"/>
      </w:pPr>
    </w:p>
    <w:p w:rsidR="00241A24" w:rsidRPr="003B6F0E" w:rsidRDefault="00241A24">
      <w:pPr>
        <w:jc w:val="left"/>
      </w:pPr>
    </w:p>
    <w:tbl>
      <w:tblPr>
        <w:tblW w:w="9284" w:type="dxa"/>
        <w:tblLayout w:type="fixed"/>
        <w:tblLook w:val="0000" w:firstRow="0" w:lastRow="0" w:firstColumn="0" w:lastColumn="0" w:noHBand="0" w:noVBand="0"/>
      </w:tblPr>
      <w:tblGrid>
        <w:gridCol w:w="1202"/>
        <w:gridCol w:w="3341"/>
        <w:gridCol w:w="1463"/>
        <w:gridCol w:w="3278"/>
      </w:tblGrid>
      <w:tr w:rsidR="00701AD6" w:rsidRPr="003B6F0E" w:rsidTr="003B6F0E">
        <w:tc>
          <w:tcPr>
            <w:tcW w:w="1202" w:type="dxa"/>
          </w:tcPr>
          <w:p w:rsidR="00701AD6" w:rsidRPr="003B6F0E" w:rsidRDefault="003B6F0E" w:rsidP="009D3AE2">
            <w:pPr>
              <w:jc w:val="left"/>
              <w:rPr>
                <w:b/>
                <w:smallCaps/>
              </w:rPr>
            </w:pPr>
            <w:r w:rsidRPr="003B6F0E">
              <w:rPr>
                <w:b/>
                <w:smallCaps/>
              </w:rPr>
              <w:t>Pour</w:t>
            </w:r>
          </w:p>
        </w:tc>
        <w:sdt>
          <w:sdtPr>
            <w:alias w:val="Name of recipient"/>
            <w:tag w:val="RecipientName"/>
            <w:id w:val="-1073266502"/>
            <w:placeholder>
              <w:docPart w:val="4E069E1333C04EDF8078C4A62B365104"/>
            </w:placeholder>
            <w:text/>
          </w:sdtPr>
          <w:sdtContent>
            <w:tc>
              <w:tcPr>
                <w:tcW w:w="3341" w:type="dxa"/>
              </w:tcPr>
              <w:p w:rsidR="00701AD6" w:rsidRPr="003B6F0E" w:rsidRDefault="003B6F0E" w:rsidP="008510DD">
                <w:pPr>
                  <w:jc w:val="left"/>
                </w:pPr>
                <w:r>
                  <w:t>Paris Partners</w:t>
                </w:r>
              </w:p>
            </w:tc>
          </w:sdtContent>
        </w:sdt>
        <w:tc>
          <w:tcPr>
            <w:tcW w:w="1463" w:type="dxa"/>
          </w:tcPr>
          <w:p w:rsidR="00701AD6" w:rsidRPr="003B6F0E" w:rsidRDefault="003B6F0E" w:rsidP="009D3AE2">
            <w:pPr>
              <w:jc w:val="left"/>
              <w:rPr>
                <w:b/>
                <w:smallCaps/>
              </w:rPr>
            </w:pPr>
            <w:r w:rsidRPr="003B6F0E">
              <w:rPr>
                <w:b/>
                <w:smallCaps/>
              </w:rPr>
              <w:t>Adresse</w:t>
            </w:r>
          </w:p>
        </w:tc>
        <w:tc>
          <w:tcPr>
            <w:tcW w:w="3278" w:type="dxa"/>
          </w:tcPr>
          <w:p w:rsidR="00701AD6" w:rsidRPr="003B6F0E" w:rsidRDefault="003B6F0E" w:rsidP="009D3AE2">
            <w:pPr>
              <w:jc w:val="left"/>
            </w:pPr>
            <w:r>
              <w:t>Paris</w:t>
            </w:r>
            <w:r w:rsidR="00AD194D">
              <w:t xml:space="preserve"> </w:t>
            </w:r>
            <w:bookmarkStart w:id="0" w:name="_GoBack"/>
            <w:bookmarkEnd w:id="0"/>
          </w:p>
        </w:tc>
      </w:tr>
      <w:tr w:rsidR="00701AD6" w:rsidRPr="003B6F0E" w:rsidTr="003B6F0E">
        <w:tc>
          <w:tcPr>
            <w:tcW w:w="1202" w:type="dxa"/>
          </w:tcPr>
          <w:p w:rsidR="00701AD6" w:rsidRPr="003B6F0E" w:rsidRDefault="00701AD6" w:rsidP="009D3AE2">
            <w:pPr>
              <w:jc w:val="left"/>
              <w:rPr>
                <w:b/>
                <w:smallCaps/>
              </w:rPr>
            </w:pPr>
          </w:p>
        </w:tc>
        <w:tc>
          <w:tcPr>
            <w:tcW w:w="3341" w:type="dxa"/>
          </w:tcPr>
          <w:p w:rsidR="00701AD6" w:rsidRPr="003B6F0E" w:rsidRDefault="00701AD6" w:rsidP="009D3AE2">
            <w:pPr>
              <w:jc w:val="left"/>
            </w:pPr>
          </w:p>
        </w:tc>
        <w:tc>
          <w:tcPr>
            <w:tcW w:w="1463" w:type="dxa"/>
          </w:tcPr>
          <w:p w:rsidR="00701AD6" w:rsidRPr="003B6F0E" w:rsidRDefault="00701AD6" w:rsidP="009D3AE2">
            <w:pPr>
              <w:jc w:val="left"/>
              <w:rPr>
                <w:b/>
                <w:smallCaps/>
              </w:rPr>
            </w:pPr>
          </w:p>
        </w:tc>
        <w:tc>
          <w:tcPr>
            <w:tcW w:w="3278" w:type="dxa"/>
          </w:tcPr>
          <w:p w:rsidR="00701AD6" w:rsidRPr="003B6F0E" w:rsidRDefault="00701AD6" w:rsidP="009D3AE2">
            <w:pPr>
              <w:jc w:val="left"/>
            </w:pPr>
          </w:p>
        </w:tc>
      </w:tr>
      <w:tr w:rsidR="00701AD6" w:rsidRPr="003B6F0E" w:rsidTr="003B6F0E">
        <w:tc>
          <w:tcPr>
            <w:tcW w:w="1202" w:type="dxa"/>
          </w:tcPr>
          <w:p w:rsidR="00701AD6" w:rsidRPr="003B6F0E" w:rsidRDefault="003B6F0E" w:rsidP="009D3AE2">
            <w:pPr>
              <w:jc w:val="left"/>
              <w:rPr>
                <w:b/>
                <w:smallCaps/>
              </w:rPr>
            </w:pPr>
            <w:r w:rsidRPr="003B6F0E">
              <w:rPr>
                <w:b/>
                <w:smallCaps/>
              </w:rPr>
              <w:t>Date</w:t>
            </w:r>
          </w:p>
        </w:tc>
        <w:sdt>
          <w:sdtPr>
            <w:alias w:val="Document Date"/>
            <w:tag w:val="Date"/>
            <w:id w:val="1711914151"/>
            <w:placeholder>
              <w:docPart w:val="96E1B9677DDB4CC3A18284D9447D07CE"/>
            </w:placeholder>
            <w:text/>
          </w:sdtPr>
          <w:sdtContent>
            <w:tc>
              <w:tcPr>
                <w:tcW w:w="3341" w:type="dxa"/>
              </w:tcPr>
              <w:p w:rsidR="00701AD6" w:rsidRPr="003B6F0E" w:rsidRDefault="003B6F0E" w:rsidP="00AA0273">
                <w:pPr>
                  <w:jc w:val="left"/>
                </w:pPr>
                <w:r>
                  <w:t>Le 17 mars 2020</w:t>
                </w:r>
              </w:p>
            </w:tc>
          </w:sdtContent>
        </w:sdt>
        <w:tc>
          <w:tcPr>
            <w:tcW w:w="1463" w:type="dxa"/>
          </w:tcPr>
          <w:p w:rsidR="00701AD6" w:rsidRPr="003B6F0E" w:rsidRDefault="00701AD6" w:rsidP="009D3AE2">
            <w:pPr>
              <w:jc w:val="left"/>
            </w:pPr>
          </w:p>
        </w:tc>
        <w:tc>
          <w:tcPr>
            <w:tcW w:w="3278" w:type="dxa"/>
          </w:tcPr>
          <w:p w:rsidR="00701AD6" w:rsidRPr="003B6F0E" w:rsidRDefault="00701AD6" w:rsidP="009D3AE2">
            <w:pPr>
              <w:jc w:val="left"/>
            </w:pPr>
          </w:p>
        </w:tc>
      </w:tr>
      <w:tr w:rsidR="00701AD6" w:rsidRPr="003B6F0E" w:rsidTr="003B6F0E">
        <w:tc>
          <w:tcPr>
            <w:tcW w:w="1202" w:type="dxa"/>
            <w:tcBorders>
              <w:bottom w:val="nil"/>
            </w:tcBorders>
          </w:tcPr>
          <w:p w:rsidR="00701AD6" w:rsidRPr="003B6F0E" w:rsidRDefault="00701AD6" w:rsidP="009D3AE2">
            <w:pPr>
              <w:jc w:val="left"/>
            </w:pPr>
          </w:p>
        </w:tc>
        <w:tc>
          <w:tcPr>
            <w:tcW w:w="3341" w:type="dxa"/>
            <w:tcBorders>
              <w:bottom w:val="nil"/>
            </w:tcBorders>
          </w:tcPr>
          <w:p w:rsidR="00701AD6" w:rsidRPr="003B6F0E" w:rsidRDefault="00701AD6" w:rsidP="009D3AE2">
            <w:pPr>
              <w:jc w:val="left"/>
            </w:pPr>
          </w:p>
        </w:tc>
        <w:tc>
          <w:tcPr>
            <w:tcW w:w="1463" w:type="dxa"/>
            <w:tcBorders>
              <w:bottom w:val="nil"/>
            </w:tcBorders>
          </w:tcPr>
          <w:p w:rsidR="00701AD6" w:rsidRPr="003B6F0E" w:rsidRDefault="00701AD6" w:rsidP="009D3AE2">
            <w:pPr>
              <w:jc w:val="left"/>
            </w:pPr>
          </w:p>
        </w:tc>
        <w:tc>
          <w:tcPr>
            <w:tcW w:w="3278" w:type="dxa"/>
            <w:tcBorders>
              <w:bottom w:val="nil"/>
            </w:tcBorders>
          </w:tcPr>
          <w:p w:rsidR="00701AD6" w:rsidRPr="003B6F0E" w:rsidRDefault="00701AD6" w:rsidP="009D3AE2">
            <w:pPr>
              <w:jc w:val="left"/>
            </w:pPr>
          </w:p>
        </w:tc>
      </w:tr>
      <w:tr w:rsidR="00701AD6" w:rsidRPr="003B6F0E" w:rsidTr="003B6F0E">
        <w:tc>
          <w:tcPr>
            <w:tcW w:w="1202" w:type="dxa"/>
          </w:tcPr>
          <w:p w:rsidR="00701AD6" w:rsidRPr="003B6F0E" w:rsidRDefault="003B6F0E" w:rsidP="009D3AE2">
            <w:pPr>
              <w:rPr>
                <w:rStyle w:val="Heading1Text"/>
              </w:rPr>
            </w:pPr>
            <w:r w:rsidRPr="003B6F0E">
              <w:rPr>
                <w:rStyle w:val="Heading1Text"/>
              </w:rPr>
              <w:t>Sujet</w:t>
            </w:r>
          </w:p>
        </w:tc>
        <w:tc>
          <w:tcPr>
            <w:tcW w:w="8082" w:type="dxa"/>
            <w:gridSpan w:val="3"/>
          </w:tcPr>
          <w:p w:rsidR="00701AD6" w:rsidRPr="003B6F0E" w:rsidRDefault="003B6F0E" w:rsidP="009D3AE2">
            <w:r>
              <w:t>Présentations des mesures de régulation du secteur bancaires annoncées par la BCE et la Banque de France pour juguler les effets de la crise du Covid-19</w:t>
            </w:r>
          </w:p>
        </w:tc>
      </w:tr>
      <w:tr w:rsidR="00701AD6" w:rsidRPr="003B6F0E" w:rsidTr="003B6F0E">
        <w:trPr>
          <w:trHeight w:hRule="exact" w:val="340"/>
        </w:trPr>
        <w:tc>
          <w:tcPr>
            <w:tcW w:w="1202" w:type="dxa"/>
            <w:tcBorders>
              <w:bottom w:val="single" w:sz="4" w:space="0" w:color="auto"/>
            </w:tcBorders>
          </w:tcPr>
          <w:p w:rsidR="00701AD6" w:rsidRPr="003B6F0E" w:rsidRDefault="00701AD6" w:rsidP="009D3AE2">
            <w:pPr>
              <w:jc w:val="left"/>
              <w:rPr>
                <w:smallCaps/>
              </w:rPr>
            </w:pPr>
          </w:p>
        </w:tc>
        <w:tc>
          <w:tcPr>
            <w:tcW w:w="8082" w:type="dxa"/>
            <w:gridSpan w:val="3"/>
            <w:tcBorders>
              <w:bottom w:val="single" w:sz="4" w:space="0" w:color="auto"/>
            </w:tcBorders>
          </w:tcPr>
          <w:p w:rsidR="00701AD6" w:rsidRPr="003B6F0E" w:rsidRDefault="00701AD6" w:rsidP="009D3AE2"/>
        </w:tc>
      </w:tr>
    </w:tbl>
    <w:p w:rsidR="00241A24" w:rsidRPr="003B6F0E" w:rsidRDefault="00241A24" w:rsidP="008C7CC9">
      <w:pPr>
        <w:pStyle w:val="Body1"/>
        <w:spacing w:after="0"/>
      </w:pPr>
    </w:p>
    <w:p w:rsidR="008C7CC9" w:rsidRDefault="008C7CC9" w:rsidP="000E63E5">
      <w:pPr>
        <w:pStyle w:val="Body1"/>
      </w:pPr>
      <w:r>
        <w:t xml:space="preserve">Afin de juguler les effets de la crise liée à l'épidémie de Covid-19, la Banque Centrale Européenne (BCE) et la Banque de France ont annoncé la mise en œuvre de mesures de régulation du secteur bancaire, destinées à assurer la liquidité du marché interbancaire et à garantir le maintien des financements aux entreprises. </w:t>
      </w:r>
    </w:p>
    <w:p w:rsidR="008C7CC9" w:rsidRPr="008C7CC9" w:rsidRDefault="008C7CC9" w:rsidP="008C7CC9">
      <w:pPr>
        <w:pStyle w:val="Heading1"/>
      </w:pPr>
      <w:r w:rsidRPr="008C7CC9">
        <w:rPr>
          <w:u w:val="single"/>
        </w:rPr>
        <w:t>Suspension de la notation</w:t>
      </w:r>
      <w:r>
        <w:rPr>
          <w:u w:val="single"/>
        </w:rPr>
        <w:t xml:space="preserve"> des entreprises</w:t>
      </w:r>
    </w:p>
    <w:p w:rsidR="008C7CC9" w:rsidRPr="008C7CC9" w:rsidRDefault="008C7CC9" w:rsidP="008C7CC9">
      <w:pPr>
        <w:spacing w:after="210"/>
        <w:ind w:left="709"/>
      </w:pPr>
      <w:r w:rsidRPr="008C7CC9">
        <w:t xml:space="preserve">Le Gouverneur de la Banque de France a indiqué que la notation des entreprises serait gelée à la date du 15 mars. </w:t>
      </w:r>
    </w:p>
    <w:p w:rsidR="008C7CC9" w:rsidRPr="008C7CC9" w:rsidRDefault="008C7CC9" w:rsidP="008C7CC9">
      <w:pPr>
        <w:pStyle w:val="Heading1"/>
      </w:pPr>
      <w:r w:rsidRPr="008C7CC9">
        <w:rPr>
          <w:u w:val="single"/>
        </w:rPr>
        <w:t>Modification des règles prudentielles</w:t>
      </w:r>
    </w:p>
    <w:p w:rsidR="008C7CC9" w:rsidRPr="008C7CC9" w:rsidRDefault="008C7CC9" w:rsidP="008C7CC9">
      <w:pPr>
        <w:spacing w:after="210"/>
        <w:ind w:left="709"/>
      </w:pPr>
      <w:r w:rsidRPr="008C7CC9">
        <w:t xml:space="preserve">Les autorités de régulation européennes et françaises envisagent d'assouplir les règles prudentielles afin d'accroitre les marges de manœuvre des banques. Ainsi, le délai à l'expiration duquel un prêt non remboursé par une entreprise est considéré comme une créance douteuse dans le bilan des banques devrait être allongé. </w:t>
      </w:r>
    </w:p>
    <w:p w:rsidR="008C7CC9" w:rsidRPr="008C7CC9" w:rsidRDefault="008C7CC9" w:rsidP="008C7CC9">
      <w:pPr>
        <w:spacing w:after="210"/>
        <w:ind w:left="709"/>
      </w:pPr>
      <w:r w:rsidRPr="008C7CC9">
        <w:t xml:space="preserve">Actuellement, les banques sont dans l'obligation de couvrir les créances des entreprises qui accusent des retards de paiement de plus de 90 jours. La proportion de ces crédits non performants est également prise en considération dans le calcul du ratio de solvabilité des établissements de crédit, lequel est étroitement surveillé par les marchés. En prolongeant ce délai, le stock de créances douteuses des banques augmentera moins vite, ce qui leur confèrera une plus grande marge de manœuvre pour accorder des délais de paiement aux entreprises débitrices. </w:t>
      </w:r>
    </w:p>
    <w:p w:rsidR="008C7CC9" w:rsidRPr="008C7CC9" w:rsidRDefault="008C7CC9" w:rsidP="008C7CC9">
      <w:pPr>
        <w:pStyle w:val="Heading1"/>
      </w:pPr>
      <w:r w:rsidRPr="008C7CC9">
        <w:rPr>
          <w:u w:val="single"/>
        </w:rPr>
        <w:t>Politique d'assouplissement quantitatif (</w:t>
      </w:r>
      <w:r w:rsidRPr="008C7CC9">
        <w:rPr>
          <w:i/>
          <w:u w:val="single"/>
        </w:rPr>
        <w:t>quantitative easing</w:t>
      </w:r>
      <w:r w:rsidRPr="008C7CC9">
        <w:rPr>
          <w:u w:val="single"/>
        </w:rPr>
        <w:t>)</w:t>
      </w:r>
    </w:p>
    <w:p w:rsidR="008C7CC9" w:rsidRPr="008C7CC9" w:rsidRDefault="008C7CC9" w:rsidP="008C7CC9">
      <w:pPr>
        <w:spacing w:after="210"/>
        <w:ind w:left="709"/>
      </w:pPr>
      <w:r w:rsidRPr="008C7CC9">
        <w:t xml:space="preserve">La Banque de France et la Banque Centrale Européenne (BCE) vont mettre en œuvre une politique dite d'assouplissement quantitatif (ou </w:t>
      </w:r>
      <w:r w:rsidRPr="008C7CC9">
        <w:rPr>
          <w:i/>
        </w:rPr>
        <w:t>quantitative easing</w:t>
      </w:r>
      <w:r w:rsidRPr="008C7CC9">
        <w:t xml:space="preserve">), à travers le rachat de titres de dettes souveraines et de dettes privées aux banques et aux autres acteurs institutionnels, à hauteur de 120 milliards d'euros. </w:t>
      </w:r>
    </w:p>
    <w:p w:rsidR="008C7CC9" w:rsidRPr="008C7CC9" w:rsidRDefault="008C7CC9" w:rsidP="008C7CC9">
      <w:pPr>
        <w:spacing w:after="210"/>
        <w:ind w:left="709"/>
      </w:pPr>
      <w:r w:rsidRPr="008C7CC9">
        <w:t xml:space="preserve">Ce programme de rachat de dettes permettra d'injecter des liquidités sur le marché interbancaire et d'assainir le bilan des établissements de crédit, afin de favoriser l'octroi de financements aux entreprises. </w:t>
      </w:r>
    </w:p>
    <w:p w:rsidR="008C7CC9" w:rsidRPr="008C7CC9" w:rsidRDefault="008C7CC9" w:rsidP="008C7CC9">
      <w:pPr>
        <w:pStyle w:val="Heading1"/>
      </w:pPr>
      <w:r w:rsidRPr="008C7CC9">
        <w:rPr>
          <w:u w:val="single"/>
        </w:rPr>
        <w:t>Refinancements de crédits bancaires par la Banque de France</w:t>
      </w:r>
    </w:p>
    <w:p w:rsidR="008C7CC9" w:rsidRPr="008C7CC9" w:rsidRDefault="008C7CC9" w:rsidP="008C7CC9">
      <w:pPr>
        <w:spacing w:after="210"/>
        <w:ind w:left="709"/>
      </w:pPr>
      <w:r w:rsidRPr="008C7CC9">
        <w:t xml:space="preserve">Dans un communiqué en date du 13 mars 2020, la Banque de France a annoncé qu'elle allait procéder à des refinancements de dettes au profit des TPE et des PME. </w:t>
      </w:r>
    </w:p>
    <w:p w:rsidR="008C7CC9" w:rsidRPr="008C7CC9" w:rsidRDefault="008C7CC9" w:rsidP="008C7CC9">
      <w:pPr>
        <w:pStyle w:val="Heading1"/>
      </w:pPr>
      <w:r w:rsidRPr="008C7CC9">
        <w:rPr>
          <w:u w:val="single"/>
        </w:rPr>
        <w:lastRenderedPageBreak/>
        <w:t>Prêts à long-terme consentis aux banques par la BCE</w:t>
      </w:r>
    </w:p>
    <w:p w:rsidR="008C7CC9" w:rsidRPr="008C7CC9" w:rsidRDefault="008C7CC9" w:rsidP="008C7CC9">
      <w:pPr>
        <w:spacing w:after="210"/>
        <w:ind w:left="709"/>
        <w:rPr>
          <w:bCs/>
        </w:rPr>
      </w:pPr>
      <w:r w:rsidRPr="008C7CC9">
        <w:t xml:space="preserve">La BCE va mettre en place des prêts à long-terme, dits </w:t>
      </w:r>
      <w:r w:rsidRPr="008C7CC9">
        <w:rPr>
          <w:bCs/>
        </w:rPr>
        <w:t xml:space="preserve">« TLTRO », au profit des établissements de crédit, à un taux de -0,75%, ces prêts étant conditionnés au maintien du crédit aux entreprises. </w:t>
      </w:r>
    </w:p>
    <w:p w:rsidR="008C7CC9" w:rsidRPr="008C7CC9" w:rsidRDefault="008C7CC9" w:rsidP="008C7CC9">
      <w:pPr>
        <w:spacing w:after="210"/>
        <w:ind w:left="709"/>
        <w:rPr>
          <w:bCs/>
        </w:rPr>
      </w:pPr>
      <w:r w:rsidRPr="008C7CC9">
        <w:rPr>
          <w:bCs/>
        </w:rPr>
        <w:t xml:space="preserve">L'objectif de ces TLTRO est de garantir la liquidité bancaire et d'inciter les banques à accroitre leur activité de prêt au profit des entreprises et des consommateurs. En effet, le montant des sommes pouvant être empruntées par les banques à la BCE et le niveau du taux d'intérêts applicable à ces emprunts dépendent du montant des encours des prêts consentis par les banques aux entreprises. </w:t>
      </w:r>
    </w:p>
    <w:p w:rsidR="008C7CC9" w:rsidRPr="008C7CC9" w:rsidRDefault="008C7CC9" w:rsidP="008C7CC9">
      <w:pPr>
        <w:spacing w:after="210"/>
        <w:ind w:left="709"/>
      </w:pPr>
      <w:r w:rsidRPr="008C7CC9">
        <w:rPr>
          <w:bCs/>
        </w:rPr>
        <w:t xml:space="preserve">Par conséquent, les banques prêtant davantage aux entreprises pourront emprunter davantage auprès de la BCE et à un taux d'intérêt plus faible. </w:t>
      </w:r>
    </w:p>
    <w:p w:rsidR="008C7CC9" w:rsidRPr="008C7CC9" w:rsidRDefault="008C7CC9" w:rsidP="008C7CC9">
      <w:pPr>
        <w:pStyle w:val="Heading1"/>
      </w:pPr>
      <w:r w:rsidRPr="008C7CC9">
        <w:rPr>
          <w:u w:val="single"/>
        </w:rPr>
        <w:t>Mobilisation du coussin contracyclique des banques</w:t>
      </w:r>
    </w:p>
    <w:p w:rsidR="008C7CC9" w:rsidRPr="008C7CC9" w:rsidRDefault="008C7CC9" w:rsidP="008C7CC9">
      <w:pPr>
        <w:spacing w:after="210"/>
        <w:ind w:left="709"/>
      </w:pPr>
      <w:r w:rsidRPr="008C7CC9">
        <w:t xml:space="preserve">Le coussin contracyclique est une réserve, constituée par les banques en période de conjoncture favorable, pouvant être libérée et utilisée pour faire face à un retournement de la conjoncture dû à une crise. </w:t>
      </w:r>
    </w:p>
    <w:p w:rsidR="008C7CC9" w:rsidRPr="008C7CC9" w:rsidRDefault="008C7CC9" w:rsidP="008C7CC9">
      <w:pPr>
        <w:spacing w:after="210"/>
        <w:ind w:left="709"/>
      </w:pPr>
      <w:r w:rsidRPr="008C7CC9">
        <w:t xml:space="preserve">La Banque de France, sur instruction de la BCE, a demandé aux établissements de crédit de mobiliser cette réserve de liquidité afin de garantir la liquidité du marché interbancaire et de continuer à consentir des crédits aux entreprises.  </w:t>
      </w:r>
    </w:p>
    <w:p w:rsidR="008C7CC9" w:rsidRPr="003B6F0E" w:rsidRDefault="008C7CC9" w:rsidP="000E63E5">
      <w:pPr>
        <w:pStyle w:val="Body1"/>
      </w:pPr>
    </w:p>
    <w:sectPr w:rsidR="008C7CC9" w:rsidRPr="003B6F0E">
      <w:headerReference w:type="default" r:id="rId11"/>
      <w:footerReference w:type="default" r:id="rId12"/>
      <w:footerReference w:type="first" r:id="rId13"/>
      <w:pgSz w:w="11906" w:h="16838" w:code="9"/>
      <w:pgMar w:top="567" w:right="1440" w:bottom="851" w:left="1440" w:header="425" w:footer="73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0E" w:rsidRDefault="003B6F0E">
      <w:pPr>
        <w:spacing w:line="240" w:lineRule="auto"/>
      </w:pPr>
      <w:r>
        <w:separator/>
      </w:r>
    </w:p>
  </w:endnote>
  <w:endnote w:type="continuationSeparator" w:id="0">
    <w:p w:rsidR="003B6F0E" w:rsidRDefault="003B6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7450"/>
      <w:docPartObj>
        <w:docPartGallery w:val="Page Numbers (Bottom of Page)"/>
        <w:docPartUnique/>
      </w:docPartObj>
    </w:sdtPr>
    <w:sdtContent>
      <w:p w:rsidR="0019467F" w:rsidRDefault="0019467F">
        <w:pPr>
          <w:pStyle w:val="Header"/>
          <w:jc w:val="left"/>
        </w:pPr>
      </w:p>
      <w:p w:rsidR="0019467F" w:rsidRDefault="0019467F">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sdtContent>
  </w:sdt>
  <w:p w:rsidR="00182936" w:rsidRDefault="00182936" w:rsidP="00B74A43">
    <w:pPr>
      <w:pStyle w:val="Footer"/>
      <w:tabs>
        <w:tab w:val="clear" w:pos="9072"/>
        <w:tab w:val="right" w:pos="90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6661"/>
      <w:docPartObj>
        <w:docPartGallery w:val="Page Numbers (Bottom of Page)"/>
        <w:docPartUnique/>
      </w:docPartObj>
    </w:sdtPr>
    <w:sdtContent>
      <w:p w:rsidR="0019467F" w:rsidRDefault="0019467F">
        <w:pPr>
          <w:pStyle w:val="Header"/>
          <w:jc w:val="left"/>
        </w:pPr>
      </w:p>
      <w:p w:rsidR="0019467F" w:rsidRDefault="0019467F">
        <w:pPr>
          <w:pStyle w:val="Header"/>
          <w:jc w:val="center"/>
        </w:pPr>
        <w:r>
          <w:t xml:space="preserve">- </w:t>
        </w:r>
        <w:r>
          <w:fldChar w:fldCharType="begin"/>
        </w:r>
        <w:r>
          <w:instrText xml:space="preserve"> PAGE  \* MERGEFORMAT </w:instrText>
        </w:r>
        <w:r>
          <w:fldChar w:fldCharType="separate"/>
        </w:r>
        <w:r w:rsidR="00AD194D">
          <w:rPr>
            <w:noProof/>
          </w:rPr>
          <w:t>1</w:t>
        </w:r>
        <w:r>
          <w:fldChar w:fldCharType="end"/>
        </w:r>
        <w:r>
          <w:t xml:space="preserve"> -</w:t>
        </w:r>
      </w:p>
    </w:sdtContent>
  </w:sdt>
  <w:p w:rsidR="00B74A43" w:rsidRDefault="00B74A43" w:rsidP="00B74A43">
    <w:pPr>
      <w:pStyle w:val="Footer"/>
      <w:tabs>
        <w:tab w:val="clear" w:pos="9072"/>
        <w:tab w:val="right" w:pos="90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0E" w:rsidRDefault="003B6F0E">
      <w:pPr>
        <w:pBdr>
          <w:top w:val="single" w:sz="4" w:space="1" w:color="auto"/>
        </w:pBdr>
      </w:pPr>
    </w:p>
  </w:footnote>
  <w:footnote w:type="continuationSeparator" w:id="0">
    <w:p w:rsidR="003B6F0E" w:rsidRDefault="003B6F0E">
      <w:pPr>
        <w:pBdr>
          <w:top w:val="single" w:sz="4" w:space="1"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36" w:rsidRDefault="008C7CC9" w:rsidP="000F054A">
    <w:pPr>
      <w:pStyle w:val="Header"/>
      <w:tabs>
        <w:tab w:val="left" w:pos="0"/>
      </w:tabs>
    </w:pPr>
    <w:sdt>
      <w:sdtPr>
        <w:alias w:val="Document date"/>
        <w:tag w:val="Date"/>
        <w:id w:val="-1986932767"/>
        <w:placeholder>
          <w:docPart w:val="4E069E1333C04EDF8078C4A62B365104"/>
        </w:placeholder>
        <w:showingPlcHdr/>
      </w:sdtPr>
      <w:sdtEndPr/>
      <w:sdtContent/>
    </w:sdt>
  </w:p>
  <w:p w:rsidR="00182936" w:rsidRDefault="00182936">
    <w:pPr>
      <w:pStyle w:val="Header"/>
    </w:pPr>
  </w:p>
  <w:p w:rsidR="00C6142B" w:rsidRDefault="00C61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AB9B2"/>
    <w:lvl w:ilvl="0">
      <w:start w:val="1"/>
      <w:numFmt w:val="decimal"/>
      <w:lvlText w:val="%1."/>
      <w:lvlJc w:val="left"/>
      <w:pPr>
        <w:tabs>
          <w:tab w:val="num" w:pos="1492"/>
        </w:tabs>
        <w:ind w:left="1492" w:hanging="360"/>
      </w:pPr>
    </w:lvl>
  </w:abstractNum>
  <w:abstractNum w:abstractNumId="1">
    <w:nsid w:val="FFFFFF7D"/>
    <w:multiLevelType w:val="singleLevel"/>
    <w:tmpl w:val="85A69E92"/>
    <w:lvl w:ilvl="0">
      <w:start w:val="1"/>
      <w:numFmt w:val="decimal"/>
      <w:lvlText w:val="%1."/>
      <w:lvlJc w:val="left"/>
      <w:pPr>
        <w:tabs>
          <w:tab w:val="num" w:pos="1209"/>
        </w:tabs>
        <w:ind w:left="1209" w:hanging="360"/>
      </w:pPr>
    </w:lvl>
  </w:abstractNum>
  <w:abstractNum w:abstractNumId="2">
    <w:nsid w:val="FFFFFF7E"/>
    <w:multiLevelType w:val="singleLevel"/>
    <w:tmpl w:val="4EA6BE80"/>
    <w:lvl w:ilvl="0">
      <w:start w:val="1"/>
      <w:numFmt w:val="decimal"/>
      <w:lvlText w:val="%1."/>
      <w:lvlJc w:val="left"/>
      <w:pPr>
        <w:tabs>
          <w:tab w:val="num" w:pos="926"/>
        </w:tabs>
        <w:ind w:left="926" w:hanging="360"/>
      </w:pPr>
    </w:lvl>
  </w:abstractNum>
  <w:abstractNum w:abstractNumId="3">
    <w:nsid w:val="FFFFFF7F"/>
    <w:multiLevelType w:val="singleLevel"/>
    <w:tmpl w:val="145EBD28"/>
    <w:lvl w:ilvl="0">
      <w:start w:val="1"/>
      <w:numFmt w:val="decimal"/>
      <w:lvlText w:val="%1."/>
      <w:lvlJc w:val="left"/>
      <w:pPr>
        <w:tabs>
          <w:tab w:val="num" w:pos="643"/>
        </w:tabs>
        <w:ind w:left="643" w:hanging="360"/>
      </w:pPr>
    </w:lvl>
  </w:abstractNum>
  <w:abstractNum w:abstractNumId="4">
    <w:nsid w:val="FFFFFF80"/>
    <w:multiLevelType w:val="singleLevel"/>
    <w:tmpl w:val="9050B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7CC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2B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AC9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E1BF8"/>
    <w:lvl w:ilvl="0">
      <w:start w:val="1"/>
      <w:numFmt w:val="decimal"/>
      <w:lvlText w:val="%1."/>
      <w:lvlJc w:val="left"/>
      <w:pPr>
        <w:tabs>
          <w:tab w:val="num" w:pos="360"/>
        </w:tabs>
        <w:ind w:left="360" w:hanging="360"/>
      </w:pPr>
    </w:lvl>
  </w:abstractNum>
  <w:abstractNum w:abstractNumId="9">
    <w:nsid w:val="FFFFFF89"/>
    <w:multiLevelType w:val="singleLevel"/>
    <w:tmpl w:val="F012781A"/>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998034E"/>
    <w:multiLevelType w:val="hybridMultilevel"/>
    <w:tmpl w:val="B78E76CA"/>
    <w:lvl w:ilvl="0" w:tplc="ED349F5A">
      <w:start w:val="1"/>
      <w:numFmt w:val="decimal"/>
      <w:pStyle w:val="TOC4"/>
      <w:lvlText w:val="%1."/>
      <w:lvlJc w:val="left"/>
      <w:pPr>
        <w:ind w:left="360" w:hanging="360"/>
      </w:pPr>
      <w:rPr>
        <w:rFonts w:ascii="Arial" w:hAnsi="Arial"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LINK" w:val="true"/>
    <w:docVar w:name="DMSREF" w:val="PCDOCS\LWDSUPP01\182397\1"/>
  </w:docVars>
  <w:rsids>
    <w:rsidRoot w:val="003B6F0E"/>
    <w:rsid w:val="0004126D"/>
    <w:rsid w:val="00077F5C"/>
    <w:rsid w:val="000977E6"/>
    <w:rsid w:val="000A1762"/>
    <w:rsid w:val="000C372E"/>
    <w:rsid w:val="000E0223"/>
    <w:rsid w:val="000E63E5"/>
    <w:rsid w:val="000F054A"/>
    <w:rsid w:val="000F54B5"/>
    <w:rsid w:val="00140D2C"/>
    <w:rsid w:val="00142AB5"/>
    <w:rsid w:val="00176FF7"/>
    <w:rsid w:val="00182936"/>
    <w:rsid w:val="0019467F"/>
    <w:rsid w:val="001A32B1"/>
    <w:rsid w:val="001B71BE"/>
    <w:rsid w:val="001D6C0A"/>
    <w:rsid w:val="002268CC"/>
    <w:rsid w:val="00241A24"/>
    <w:rsid w:val="00282478"/>
    <w:rsid w:val="002C49E1"/>
    <w:rsid w:val="002E249E"/>
    <w:rsid w:val="002E7B9A"/>
    <w:rsid w:val="002F637D"/>
    <w:rsid w:val="003021B8"/>
    <w:rsid w:val="00316D3F"/>
    <w:rsid w:val="00321CD2"/>
    <w:rsid w:val="003406ED"/>
    <w:rsid w:val="00342403"/>
    <w:rsid w:val="0035450A"/>
    <w:rsid w:val="00362B5E"/>
    <w:rsid w:val="003863DE"/>
    <w:rsid w:val="003B27F7"/>
    <w:rsid w:val="003B6F0E"/>
    <w:rsid w:val="003D64E0"/>
    <w:rsid w:val="003E4C7C"/>
    <w:rsid w:val="003E7E14"/>
    <w:rsid w:val="003F21DE"/>
    <w:rsid w:val="004067BD"/>
    <w:rsid w:val="00423B93"/>
    <w:rsid w:val="00424479"/>
    <w:rsid w:val="00463BC7"/>
    <w:rsid w:val="004B7599"/>
    <w:rsid w:val="00535ACA"/>
    <w:rsid w:val="00550EA0"/>
    <w:rsid w:val="005758BD"/>
    <w:rsid w:val="00586FD4"/>
    <w:rsid w:val="00633E0E"/>
    <w:rsid w:val="00656E5A"/>
    <w:rsid w:val="006612A7"/>
    <w:rsid w:val="00663B1A"/>
    <w:rsid w:val="006A2F60"/>
    <w:rsid w:val="006B210A"/>
    <w:rsid w:val="006B33BF"/>
    <w:rsid w:val="006B77B8"/>
    <w:rsid w:val="006C0FC8"/>
    <w:rsid w:val="006E3EE3"/>
    <w:rsid w:val="006F76D9"/>
    <w:rsid w:val="00701AD6"/>
    <w:rsid w:val="00730919"/>
    <w:rsid w:val="007F62E8"/>
    <w:rsid w:val="00810000"/>
    <w:rsid w:val="00827857"/>
    <w:rsid w:val="008510DD"/>
    <w:rsid w:val="008C7CC9"/>
    <w:rsid w:val="008D27CB"/>
    <w:rsid w:val="008D7B75"/>
    <w:rsid w:val="009006ED"/>
    <w:rsid w:val="00905693"/>
    <w:rsid w:val="009275AF"/>
    <w:rsid w:val="00936E48"/>
    <w:rsid w:val="0097339F"/>
    <w:rsid w:val="009739B7"/>
    <w:rsid w:val="00973E95"/>
    <w:rsid w:val="00992D0F"/>
    <w:rsid w:val="00997C91"/>
    <w:rsid w:val="009B284D"/>
    <w:rsid w:val="009B329A"/>
    <w:rsid w:val="009D3AE2"/>
    <w:rsid w:val="009E674B"/>
    <w:rsid w:val="00A100BA"/>
    <w:rsid w:val="00A11A0E"/>
    <w:rsid w:val="00A36142"/>
    <w:rsid w:val="00A4307E"/>
    <w:rsid w:val="00A74EF8"/>
    <w:rsid w:val="00A97195"/>
    <w:rsid w:val="00AA0273"/>
    <w:rsid w:val="00AB5B42"/>
    <w:rsid w:val="00AC6A58"/>
    <w:rsid w:val="00AC6B4F"/>
    <w:rsid w:val="00AD0DE3"/>
    <w:rsid w:val="00AD194D"/>
    <w:rsid w:val="00AE343D"/>
    <w:rsid w:val="00B0241F"/>
    <w:rsid w:val="00B02BC3"/>
    <w:rsid w:val="00B04B04"/>
    <w:rsid w:val="00B337D2"/>
    <w:rsid w:val="00B6595B"/>
    <w:rsid w:val="00B65A7A"/>
    <w:rsid w:val="00B7057E"/>
    <w:rsid w:val="00B71083"/>
    <w:rsid w:val="00B72E76"/>
    <w:rsid w:val="00B74A43"/>
    <w:rsid w:val="00B80A33"/>
    <w:rsid w:val="00BA047F"/>
    <w:rsid w:val="00BA20EA"/>
    <w:rsid w:val="00BA2A0D"/>
    <w:rsid w:val="00BA2C3C"/>
    <w:rsid w:val="00BD5396"/>
    <w:rsid w:val="00BD7278"/>
    <w:rsid w:val="00BE2480"/>
    <w:rsid w:val="00BE76B1"/>
    <w:rsid w:val="00C04CCC"/>
    <w:rsid w:val="00C26349"/>
    <w:rsid w:val="00C36263"/>
    <w:rsid w:val="00C46C82"/>
    <w:rsid w:val="00C6142B"/>
    <w:rsid w:val="00C817B3"/>
    <w:rsid w:val="00C81FA9"/>
    <w:rsid w:val="00CB397A"/>
    <w:rsid w:val="00D57CB0"/>
    <w:rsid w:val="00D77BCE"/>
    <w:rsid w:val="00D8653B"/>
    <w:rsid w:val="00DA1807"/>
    <w:rsid w:val="00DA51A3"/>
    <w:rsid w:val="00DB22FE"/>
    <w:rsid w:val="00DC5CB2"/>
    <w:rsid w:val="00DD65EF"/>
    <w:rsid w:val="00DE6D77"/>
    <w:rsid w:val="00DF50E8"/>
    <w:rsid w:val="00E2468E"/>
    <w:rsid w:val="00E310FD"/>
    <w:rsid w:val="00E414F7"/>
    <w:rsid w:val="00E473B4"/>
    <w:rsid w:val="00E51D12"/>
    <w:rsid w:val="00E63439"/>
    <w:rsid w:val="00E6377F"/>
    <w:rsid w:val="00E6660E"/>
    <w:rsid w:val="00E732E3"/>
    <w:rsid w:val="00E81E75"/>
    <w:rsid w:val="00E92CF1"/>
    <w:rsid w:val="00EB64BC"/>
    <w:rsid w:val="00F1547A"/>
    <w:rsid w:val="00F62153"/>
    <w:rsid w:val="00F76D9E"/>
    <w:rsid w:val="00F86106"/>
    <w:rsid w:val="00F87E22"/>
    <w:rsid w:val="00FF0855"/>
  </w:rsids>
  <m:mathPr>
    <m:mathFont m:val="Cambria Math"/>
    <m:brkBin m:val="before"/>
    <m:brkBinSub m:val="--"/>
    <m:smallFrac m:val="0"/>
    <m:dispDef/>
    <m:lMargin m:val="0"/>
    <m:rMargin m:val="0"/>
    <m:defJc m:val="centerGroup"/>
    <m:wrapIndent m:val="1440"/>
    <m:intLim m:val="subSup"/>
    <m:naryLim m:val="undOvr"/>
  </m:mathPr>
  <w:attachedSchema w:val="HL_DocumentInformation"/>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uiPriority="29"/>
    <w:lsdException w:name="List 2" w:uiPriority="29"/>
    <w:lsdException w:name="List 3" w:uiPriority="29"/>
    <w:lsdException w:name="List 4" w:uiPriority="29"/>
    <w:lsdException w:name="List 5" w:uiPriority="29"/>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List Continue" w:uiPriority="29"/>
    <w:lsdException w:name="List Continue 2" w:uiPriority="29"/>
    <w:lsdException w:name="List Continue 3" w:uiPriority="29"/>
    <w:lsdException w:name="List Continue 4" w:uiPriority="29"/>
    <w:lsdException w:name="List Continue 5" w:uiPriority="29"/>
    <w:lsdException w:name="Hyperlink" w:uiPriority="99"/>
    <w:lsdException w:name="Strong" w:semiHidden="1" w:uiPriority="33"/>
    <w:lsdException w:name="E-mail Signature" w:semiHidden="1"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semiHidden="1" w:uiPriority="17"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atentStyles>
  <w:style w:type="paragraph" w:default="1" w:styleId="Normal">
    <w:name w:val="Normal"/>
    <w:uiPriority w:val="7"/>
    <w:qFormat/>
    <w:rsid w:val="00D67411"/>
    <w:rPr>
      <w:rFonts w:eastAsia="Arial Unicode MS"/>
      <w:lang w:val="fr-FR"/>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semiHidden/>
    <w:rsid w:val="00DB4683"/>
    <w:pPr>
      <w:spacing w:after="120"/>
      <w:ind w:left="709"/>
      <w:contextualSpacing/>
      <w:jc w:val="left"/>
    </w:pPr>
  </w:style>
  <w:style w:type="paragraph" w:styleId="TOC6">
    <w:name w:val="toc 6"/>
    <w:basedOn w:val="Normal"/>
    <w:next w:val="Normal"/>
    <w:autoRedefine/>
    <w:uiPriority w:val="49"/>
    <w:semiHidden/>
    <w:pPr>
      <w:ind w:left="1050"/>
    </w:pPr>
  </w:style>
  <w:style w:type="paragraph" w:styleId="TOC7">
    <w:name w:val="toc 7"/>
    <w:basedOn w:val="Normal"/>
    <w:next w:val="Normal"/>
    <w:autoRedefine/>
    <w:uiPriority w:val="49"/>
    <w:semiHidden/>
    <w:pPr>
      <w:ind w:left="1260"/>
    </w:pPr>
  </w:style>
  <w:style w:type="paragraph" w:styleId="TOC8">
    <w:name w:val="toc 8"/>
    <w:basedOn w:val="Normal"/>
    <w:next w:val="Normal"/>
    <w:autoRedefine/>
    <w:uiPriority w:val="49"/>
    <w:semiHidden/>
    <w:pPr>
      <w:ind w:left="1470"/>
    </w:pPr>
  </w:style>
  <w:style w:type="paragraph" w:styleId="TOC9">
    <w:name w:val="toc 9"/>
    <w:basedOn w:val="Normal"/>
    <w:next w:val="Normal"/>
    <w:autoRedefine/>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imes New Roman"/>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eastAsia="Times New Roman"/>
      <w:b/>
      <w:iCs/>
      <w:spacing w:val="15"/>
      <w:szCs w:val="24"/>
    </w:rPr>
  </w:style>
  <w:style w:type="character" w:customStyle="1" w:styleId="SubtitleChar">
    <w:name w:val="Subtitle Char"/>
    <w:basedOn w:val="DefaultParagraphFont"/>
    <w:link w:val="Subtitle"/>
    <w:uiPriority w:val="18"/>
    <w:rsid w:val="00ED08A9"/>
    <w:rPr>
      <w:rFonts w:ascii="Arial" w:eastAsia="Times New Roman" w:hAnsi="Arial" w:cs="Times New Roman"/>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imes New Roman"/>
      <w:b/>
      <w:smallCaps/>
      <w:spacing w:val="5"/>
      <w:kern w:val="28"/>
      <w:szCs w:val="52"/>
    </w:rPr>
  </w:style>
  <w:style w:type="character" w:customStyle="1" w:styleId="TitleChar">
    <w:name w:val="Title Char"/>
    <w:basedOn w:val="DefaultParagraphFont"/>
    <w:link w:val="Title"/>
    <w:uiPriority w:val="18"/>
    <w:rsid w:val="00ED08A9"/>
    <w:rPr>
      <w:rFonts w:eastAsia="Times New Roman" w:cs="Times New Roman"/>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FC3332"/>
    <w:rPr>
      <w:b/>
      <w:smallCaps/>
    </w:rPr>
  </w:style>
  <w:style w:type="paragraph" w:customStyle="1" w:styleId="SchHeading2">
    <w:name w:val="Sch Heading 2"/>
    <w:basedOn w:val="SchNumber2"/>
    <w:next w:val="Body2"/>
    <w:link w:val="SchHeading2Char"/>
    <w:uiPriority w:val="12"/>
    <w:qFormat/>
    <w:rsid w:val="00FC3332"/>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w:hAnsi="Arial"/>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ED08A9"/>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ED08A9"/>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04544B"/>
    <w:rPr>
      <w:b/>
    </w:rPr>
  </w:style>
  <w:style w:type="character" w:customStyle="1" w:styleId="SchHeading3Char">
    <w:name w:val="Sch Heading 3 Char"/>
    <w:basedOn w:val="SchNumber3Char"/>
    <w:link w:val="SchHeading3"/>
    <w:uiPriority w:val="12"/>
    <w:rsid w:val="0004544B"/>
    <w:rPr>
      <w:rFonts w:eastAsia="Arial Unicode MS"/>
      <w:b/>
    </w:rPr>
  </w:style>
  <w:style w:type="paragraph" w:customStyle="1" w:styleId="Parts">
    <w:name w:val="Parts"/>
    <w:basedOn w:val="Body1"/>
    <w:next w:val="Body1"/>
    <w:uiPriority w:val="12"/>
    <w:qFormat/>
    <w:rsid w:val="00563D29"/>
    <w:pPr>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uiPriority="29"/>
    <w:lsdException w:name="List 2" w:uiPriority="29"/>
    <w:lsdException w:name="List 3" w:uiPriority="29"/>
    <w:lsdException w:name="List 4" w:uiPriority="29"/>
    <w:lsdException w:name="List 5" w:uiPriority="29"/>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List Continue" w:uiPriority="29"/>
    <w:lsdException w:name="List Continue 2" w:uiPriority="29"/>
    <w:lsdException w:name="List Continue 3" w:uiPriority="29"/>
    <w:lsdException w:name="List Continue 4" w:uiPriority="29"/>
    <w:lsdException w:name="List Continue 5" w:uiPriority="29"/>
    <w:lsdException w:name="Hyperlink" w:uiPriority="99"/>
    <w:lsdException w:name="Strong" w:semiHidden="1" w:uiPriority="33"/>
    <w:lsdException w:name="E-mail Signature" w:semiHidden="1"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semiHidden="1" w:uiPriority="17"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atentStyles>
  <w:style w:type="paragraph" w:default="1" w:styleId="Normal">
    <w:name w:val="Normal"/>
    <w:uiPriority w:val="7"/>
    <w:qFormat/>
    <w:rsid w:val="00D67411"/>
    <w:rPr>
      <w:rFonts w:eastAsia="Arial Unicode MS"/>
      <w:lang w:val="fr-FR"/>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semiHidden/>
    <w:rsid w:val="00DB4683"/>
    <w:pPr>
      <w:spacing w:after="120"/>
      <w:ind w:left="709"/>
      <w:contextualSpacing/>
      <w:jc w:val="left"/>
    </w:pPr>
  </w:style>
  <w:style w:type="paragraph" w:styleId="TOC6">
    <w:name w:val="toc 6"/>
    <w:basedOn w:val="Normal"/>
    <w:next w:val="Normal"/>
    <w:autoRedefine/>
    <w:uiPriority w:val="49"/>
    <w:semiHidden/>
    <w:pPr>
      <w:ind w:left="1050"/>
    </w:pPr>
  </w:style>
  <w:style w:type="paragraph" w:styleId="TOC7">
    <w:name w:val="toc 7"/>
    <w:basedOn w:val="Normal"/>
    <w:next w:val="Normal"/>
    <w:autoRedefine/>
    <w:uiPriority w:val="49"/>
    <w:semiHidden/>
    <w:pPr>
      <w:ind w:left="1260"/>
    </w:pPr>
  </w:style>
  <w:style w:type="paragraph" w:styleId="TOC8">
    <w:name w:val="toc 8"/>
    <w:basedOn w:val="Normal"/>
    <w:next w:val="Normal"/>
    <w:autoRedefine/>
    <w:uiPriority w:val="49"/>
    <w:semiHidden/>
    <w:pPr>
      <w:ind w:left="1470"/>
    </w:pPr>
  </w:style>
  <w:style w:type="paragraph" w:styleId="TOC9">
    <w:name w:val="toc 9"/>
    <w:basedOn w:val="Normal"/>
    <w:next w:val="Normal"/>
    <w:autoRedefine/>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imes New Roman"/>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eastAsia="Times New Roman"/>
      <w:b/>
      <w:iCs/>
      <w:spacing w:val="15"/>
      <w:szCs w:val="24"/>
    </w:rPr>
  </w:style>
  <w:style w:type="character" w:customStyle="1" w:styleId="SubtitleChar">
    <w:name w:val="Subtitle Char"/>
    <w:basedOn w:val="DefaultParagraphFont"/>
    <w:link w:val="Subtitle"/>
    <w:uiPriority w:val="18"/>
    <w:rsid w:val="00ED08A9"/>
    <w:rPr>
      <w:rFonts w:ascii="Arial" w:eastAsia="Times New Roman" w:hAnsi="Arial" w:cs="Times New Roman"/>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imes New Roman"/>
      <w:b/>
      <w:smallCaps/>
      <w:spacing w:val="5"/>
      <w:kern w:val="28"/>
      <w:szCs w:val="52"/>
    </w:rPr>
  </w:style>
  <w:style w:type="character" w:customStyle="1" w:styleId="TitleChar">
    <w:name w:val="Title Char"/>
    <w:basedOn w:val="DefaultParagraphFont"/>
    <w:link w:val="Title"/>
    <w:uiPriority w:val="18"/>
    <w:rsid w:val="00ED08A9"/>
    <w:rPr>
      <w:rFonts w:eastAsia="Times New Roman" w:cs="Times New Roman"/>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FC3332"/>
    <w:rPr>
      <w:b/>
      <w:smallCaps/>
    </w:rPr>
  </w:style>
  <w:style w:type="paragraph" w:customStyle="1" w:styleId="SchHeading2">
    <w:name w:val="Sch Heading 2"/>
    <w:basedOn w:val="SchNumber2"/>
    <w:next w:val="Body2"/>
    <w:link w:val="SchHeading2Char"/>
    <w:uiPriority w:val="12"/>
    <w:qFormat/>
    <w:rsid w:val="00FC3332"/>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w:hAnsi="Arial"/>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ED08A9"/>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ED08A9"/>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04544B"/>
    <w:rPr>
      <w:b/>
    </w:rPr>
  </w:style>
  <w:style w:type="character" w:customStyle="1" w:styleId="SchHeading3Char">
    <w:name w:val="Sch Heading 3 Char"/>
    <w:basedOn w:val="SchNumber3Char"/>
    <w:link w:val="SchHeading3"/>
    <w:uiPriority w:val="12"/>
    <w:rsid w:val="0004544B"/>
    <w:rPr>
      <w:rFonts w:eastAsia="Arial Unicode MS"/>
      <w:b/>
    </w:rPr>
  </w:style>
  <w:style w:type="paragraph" w:customStyle="1" w:styleId="Parts">
    <w:name w:val="Parts"/>
    <w:basedOn w:val="Body1"/>
    <w:next w:val="Body1"/>
    <w:uiPriority w:val="12"/>
    <w:qFormat/>
    <w:rsid w:val="00563D29"/>
    <w:pPr>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069E1333C04EDF8078C4A62B365104"/>
        <w:category>
          <w:name w:val="General"/>
          <w:gallery w:val="placeholder"/>
        </w:category>
        <w:types>
          <w:type w:val="bbPlcHdr"/>
        </w:types>
        <w:behaviors>
          <w:behavior w:val="content"/>
        </w:behaviors>
        <w:guid w:val="{C314DB07-24F7-49E4-8166-A3A71A66B45D}"/>
      </w:docPartPr>
      <w:docPartBody>
        <w:p w:rsidR="00000000" w:rsidRDefault="007D305A"/>
      </w:docPartBody>
    </w:docPart>
    <w:docPart>
      <w:docPartPr>
        <w:name w:val="96E1B9677DDB4CC3A18284D9447D07CE"/>
        <w:category>
          <w:name w:val="General"/>
          <w:gallery w:val="placeholder"/>
        </w:category>
        <w:types>
          <w:type w:val="bbPlcHdr"/>
        </w:types>
        <w:behaviors>
          <w:behavior w:val="content"/>
        </w:behaviors>
        <w:guid w:val="{600F7817-5B81-40C9-AC43-D855DE894B29}"/>
      </w:docPartPr>
      <w:docPartBody>
        <w:p w:rsidR="00000000" w:rsidRDefault="007D3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5A"/>
    <w:rsid w:val="007D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05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0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Hogan 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MEMO</field>
    <field id="DocumentTitle" dmfield="DOCNAME" type="string">Présentations des mesures de régulation du secteur bancaires annoncées par la BCE et la Banque de France pour juguler les effets de la crise du Covid-19
</field>
    <field id="DocumentNumber" dmfield="DOCNUM" type="string"/>
    <field id="Library" dmfield="" type="string"/>
    <field id="Version" dmfield="" type="string"/>
    <field id="Language" dmfield="" type="string">French</field>
    <field id="Office" dmfield="" type="string">Paris</field>
    <field id="PaperTypeFirst" dmfield="" type="string"/>
    <field id="PaperTypeCont" dmfield="" type="string"/>
    <field id="ExcludeFooterUpdate" dmfield="" type="string">False</field>
    <field id="FirmName" dmfield="" type="">Hogan Lovells</field>
    <field id="FirstPageHeaded" dmfield="" type="">False</field>
    <field id="ContPage" dmfield="" type="">False</field>
    <field id="DraftSpacing" dmfield="" type="">False</field>
    <field id="RecipientName" dmfield="" type="">Paris Partners</field>
    <field id="Date" dmfield="" type="">Le 17 mars 2020</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C8F4-51E0-46B1-B812-83BE72C1C2D8}">
  <ds:schemaRefs>
    <ds:schemaRef ds:uri="http://hoganlovells.com/word2010/custom"/>
  </ds:schemaRefs>
</ds:datastoreItem>
</file>

<file path=customXml/itemProps2.xml><?xml version="1.0" encoding="utf-8"?>
<ds:datastoreItem xmlns:ds="http://schemas.openxmlformats.org/officeDocument/2006/customXml" ds:itemID="{832951B8-BB09-4FE4-9708-F3FC64C4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2020-03-17T15:04:00Z</dcterms:created>
  <dcterms:modified xsi:type="dcterms:W3CDTF">2020-03-17T15:14:00Z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Internal</vt:lpwstr>
  </property>
  <property fmtid="{D5CDD505-2E9C-101B-9397-08002B2CF9AE}" pid="3" name="Language">
    <vt:lpwstr>French</vt:lpwstr>
  </property>
  <property fmtid="{D5CDD505-2E9C-101B-9397-08002B2CF9AE}" pid="4" name="LawyerText">
    <vt:bool>false</vt:bool>
  </property>
  <property fmtid="{D5CDD505-2E9C-101B-9397-08002B2CF9AE}" pid="5" name="eDOCS AutoSave">
    <vt:lpwstr>20200317160720131</vt:lpwstr>
  </property>
</Properties>
</file>